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007B" w14:textId="355D142D" w:rsidR="008F0A44" w:rsidRPr="00706EB4" w:rsidRDefault="004D114C" w:rsidP="006417A1">
      <w:pPr>
        <w:pStyle w:val="Notaexplicativa"/>
        <w:pBdr>
          <w:bottom w:val="single" w:sz="4" w:space="0" w:color="1F497D"/>
        </w:pBdr>
        <w:jc w:val="center"/>
        <w:rPr>
          <w:rFonts w:asciiTheme="majorHAnsi" w:hAnsiTheme="majorHAnsi" w:cstheme="majorHAnsi"/>
          <w:b/>
        </w:rPr>
      </w:pPr>
      <w:bookmarkStart w:id="0" w:name="_Hlk82471863"/>
      <w:r>
        <w:rPr>
          <w:rFonts w:asciiTheme="majorHAnsi" w:hAnsiTheme="majorHAnsi" w:cstheme="majorHAnsi"/>
          <w:b/>
        </w:rPr>
        <w:t>MINUTA</w:t>
      </w:r>
      <w:r w:rsidR="008F0A44" w:rsidRPr="00706EB4">
        <w:rPr>
          <w:rFonts w:asciiTheme="majorHAnsi" w:hAnsiTheme="majorHAnsi" w:cstheme="majorHAnsi"/>
          <w:b/>
        </w:rPr>
        <w:t xml:space="preserve"> DE TERMO DE REFERÊNCIA</w:t>
      </w:r>
      <w:r w:rsidR="00106642">
        <w:rPr>
          <w:rFonts w:asciiTheme="majorHAnsi" w:hAnsiTheme="majorHAnsi" w:cstheme="majorHAnsi"/>
          <w:b/>
        </w:rPr>
        <w:t xml:space="preserve"> - TR</w:t>
      </w:r>
    </w:p>
    <w:p w14:paraId="64E126BA" w14:textId="77777777" w:rsidR="008F0A44" w:rsidRPr="00706EB4" w:rsidRDefault="008F0A44" w:rsidP="006417A1">
      <w:pPr>
        <w:pStyle w:val="Notaexplicativa"/>
        <w:pBdr>
          <w:bottom w:val="single" w:sz="4" w:space="0" w:color="1F497D"/>
        </w:pBdr>
        <w:jc w:val="center"/>
        <w:rPr>
          <w:rFonts w:asciiTheme="majorHAnsi" w:hAnsiTheme="majorHAnsi" w:cstheme="majorHAnsi"/>
          <w:b/>
        </w:rPr>
      </w:pPr>
      <w:r w:rsidRPr="00706EB4">
        <w:rPr>
          <w:rFonts w:asciiTheme="majorHAnsi" w:hAnsiTheme="majorHAnsi" w:cstheme="majorHAnsi"/>
          <w:b/>
        </w:rPr>
        <w:t>LEI Nº 14.133, DE 1º DE ABRIL DE 2021</w:t>
      </w:r>
    </w:p>
    <w:p w14:paraId="2C97A8AE" w14:textId="6FB64F94" w:rsidR="008F0A44" w:rsidRPr="00706EB4" w:rsidRDefault="00F141DB" w:rsidP="006417A1">
      <w:pPr>
        <w:pStyle w:val="Notaexplicativa"/>
        <w:pBdr>
          <w:bottom w:val="single" w:sz="4" w:space="0" w:color="1F497D"/>
        </w:pBdr>
        <w:jc w:val="center"/>
        <w:rPr>
          <w:rFonts w:asciiTheme="majorHAnsi" w:hAnsiTheme="majorHAnsi" w:cstheme="majorHAnsi"/>
          <w:b/>
        </w:rPr>
      </w:pPr>
      <w:r>
        <w:rPr>
          <w:rFonts w:asciiTheme="majorHAnsi" w:hAnsiTheme="majorHAnsi" w:cstheme="majorHAnsi"/>
          <w:b/>
        </w:rPr>
        <w:t>LOCAÇÃO</w:t>
      </w:r>
    </w:p>
    <w:p w14:paraId="28B7246D" w14:textId="77777777" w:rsidR="008F0A44" w:rsidRPr="00706EB4" w:rsidRDefault="008F0A44" w:rsidP="006417A1">
      <w:pPr>
        <w:pStyle w:val="Notaexplicativa"/>
        <w:pBdr>
          <w:bottom w:val="single" w:sz="4" w:space="0" w:color="1F497D"/>
        </w:pBdr>
        <w:rPr>
          <w:b/>
        </w:rPr>
      </w:pPr>
      <w:r w:rsidRPr="00706EB4">
        <w:rPr>
          <w:b/>
        </w:rPr>
        <w:t xml:space="preserve">ORIENTAÇÕES PARA USO DO MODELO – </w:t>
      </w:r>
      <w:r w:rsidRPr="00706EB4">
        <w:rPr>
          <w:b/>
          <w:color w:val="FF0000"/>
        </w:rPr>
        <w:t>LEITURA OBRIGATÓRIA</w:t>
      </w:r>
    </w:p>
    <w:p w14:paraId="14FD26E4" w14:textId="77777777" w:rsidR="008F0A44" w:rsidRPr="00706EB4" w:rsidRDefault="008F0A44" w:rsidP="006417A1">
      <w:pPr>
        <w:pStyle w:val="Notaexplicativa"/>
        <w:pBdr>
          <w:bottom w:val="single" w:sz="4" w:space="0" w:color="1F497D"/>
        </w:pBdr>
      </w:pPr>
      <w:r w:rsidRPr="00706EB4">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71D9E58C" w14:textId="77777777" w:rsidR="008F0A44" w:rsidRPr="00706EB4" w:rsidRDefault="008F0A44" w:rsidP="006417A1">
      <w:pPr>
        <w:pStyle w:val="Notaexplicativa"/>
        <w:pBdr>
          <w:bottom w:val="single" w:sz="4" w:space="0" w:color="1F497D"/>
        </w:pBdr>
      </w:pPr>
      <w:r w:rsidRPr="00706EB4">
        <w:t>Alguns itens receberam notas explicativas destacadas para compreensão do agente ou setor responsável pela elaboração das minutas referentes à licitação, que deverão ser suprimidas quando da finalização do documento.</w:t>
      </w:r>
    </w:p>
    <w:p w14:paraId="1CC34B2A" w14:textId="6AFEAC42" w:rsidR="0043162F" w:rsidRDefault="0043162F" w:rsidP="0043162F">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 xml:space="preserve">Sistema de Cores: Para facilitar o ajuste do </w:t>
      </w:r>
      <w:r w:rsidR="00814195">
        <w:rPr>
          <w:rFonts w:asciiTheme="majorHAnsi" w:hAnsiTheme="majorHAnsi" w:cstheme="majorHAnsi"/>
        </w:rPr>
        <w:t>Termo de Referência</w:t>
      </w:r>
      <w:r w:rsidRPr="009F2EA1">
        <w:rPr>
          <w:rFonts w:asciiTheme="majorHAnsi" w:hAnsiTheme="majorHAnsi" w:cstheme="majorHAnsi"/>
        </w:rPr>
        <w:t xml:space="preserve"> ao tipo de contratação, algumas cláusulas foram destacadas com cores distintas, devendo ser removidas ou mantidas em cada caso da seguinte forma:</w:t>
      </w:r>
    </w:p>
    <w:p w14:paraId="0B273D10" w14:textId="77777777" w:rsidR="0043162F"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bCs/>
        </w:rPr>
        <w:t xml:space="preserve">- </w:t>
      </w:r>
      <w:r w:rsidRPr="007E7D21">
        <w:rPr>
          <w:rFonts w:asciiTheme="majorHAnsi" w:hAnsiTheme="majorHAnsi" w:cstheme="majorHAnsi"/>
          <w:bCs/>
        </w:rPr>
        <w:t xml:space="preserve">Os itens deste modelo destacados em </w:t>
      </w:r>
      <w:r w:rsidRPr="007E7D21">
        <w:rPr>
          <w:rFonts w:asciiTheme="majorHAnsi" w:hAnsiTheme="majorHAnsi" w:cstheme="majorHAnsi"/>
          <w:bCs/>
          <w:color w:val="FF0000"/>
        </w:rPr>
        <w:t xml:space="preserve">vermelho itálico </w:t>
      </w:r>
      <w:r w:rsidRPr="007E7D21">
        <w:rPr>
          <w:rFonts w:asciiTheme="majorHAnsi" w:hAnsiTheme="majorHAnsi" w:cstheme="majorHAnsi"/>
          <w:bCs/>
        </w:rPr>
        <w:t>devem ser preenchidos ou adotados pelo órgão ou entidade pública contratante segundo critérios de oportunidade e conveniência</w:t>
      </w:r>
      <w:r w:rsidRPr="007E7D21">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B5E4821" w14:textId="77777777" w:rsidR="0043162F" w:rsidRPr="007E7D21"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w:t>
      </w:r>
      <w:r w:rsidRPr="009F2EA1">
        <w:rPr>
          <w:rFonts w:asciiTheme="majorHAnsi" w:hAnsiTheme="majorHAnsi" w:cstheme="majorHAnsi"/>
        </w:rPr>
        <w:t>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6B021877" w14:textId="77777777" w:rsidR="0043162F" w:rsidRPr="007E7D21" w:rsidRDefault="0043162F" w:rsidP="0043162F">
      <w:pPr>
        <w:pStyle w:val="Notaexplicativa"/>
        <w:pBdr>
          <w:bottom w:val="single" w:sz="4" w:space="0" w:color="1F497D"/>
        </w:pBdr>
        <w:rPr>
          <w:rFonts w:asciiTheme="majorHAnsi" w:hAnsiTheme="majorHAnsi" w:cstheme="majorHAnsi"/>
          <w:color w:val="auto"/>
        </w:rPr>
      </w:pPr>
      <w:r w:rsidRPr="007E7D21">
        <w:rPr>
          <w:rFonts w:asciiTheme="majorHAnsi" w:hAnsiTheme="majorHAnsi" w:cstheme="majorHAnsi"/>
          <w:color w:val="auto"/>
        </w:rPr>
        <w:t xml:space="preserve">- Se não for permitida a participação de cooperativas, exclua todas as disposições destacadas em </w:t>
      </w:r>
      <w:r w:rsidRPr="007E7D21">
        <w:rPr>
          <w:rFonts w:asciiTheme="majorHAnsi" w:hAnsiTheme="majorHAnsi" w:cstheme="majorHAnsi"/>
          <w:color w:val="auto"/>
          <w:highlight w:val="green"/>
        </w:rPr>
        <w:t>verde</w:t>
      </w:r>
      <w:r w:rsidRPr="007E7D21">
        <w:rPr>
          <w:rFonts w:asciiTheme="majorHAnsi" w:hAnsiTheme="majorHAnsi" w:cstheme="majorHAnsi"/>
          <w:color w:val="auto"/>
        </w:rPr>
        <w:t>. Se for permitida a participação de cooperativas, elas devem ser mantidas.</w:t>
      </w:r>
    </w:p>
    <w:p w14:paraId="4A717E72" w14:textId="77777777" w:rsidR="0043162F" w:rsidRPr="007E7D21" w:rsidRDefault="0043162F" w:rsidP="0043162F">
      <w:pPr>
        <w:pStyle w:val="Notaexplicativa"/>
        <w:pBdr>
          <w:bottom w:val="single" w:sz="4" w:space="0" w:color="1F497D"/>
        </w:pBdr>
        <w:rPr>
          <w:rFonts w:asciiTheme="majorHAnsi" w:hAnsiTheme="majorHAnsi" w:cstheme="majorHAnsi"/>
          <w:color w:val="auto"/>
        </w:rPr>
      </w:pPr>
      <w:r w:rsidRPr="007E7D21">
        <w:rPr>
          <w:rFonts w:asciiTheme="majorHAnsi" w:hAnsiTheme="majorHAnsi" w:cstheme="majorHAnsi"/>
          <w:color w:val="auto"/>
        </w:rPr>
        <w:t xml:space="preserve">- Se não for utilizado o sistema de registro de preços, exclua todas as disposições destacadas em </w:t>
      </w:r>
      <w:r w:rsidRPr="007E7D21">
        <w:rPr>
          <w:rFonts w:asciiTheme="majorHAnsi" w:hAnsiTheme="majorHAnsi" w:cstheme="majorHAnsi"/>
          <w:color w:val="auto"/>
          <w:highlight w:val="cyan"/>
        </w:rPr>
        <w:t>azul</w:t>
      </w:r>
      <w:r w:rsidRPr="007E7D21">
        <w:rPr>
          <w:rFonts w:asciiTheme="majorHAnsi" w:hAnsiTheme="majorHAnsi" w:cstheme="majorHAnsi"/>
          <w:color w:val="auto"/>
        </w:rPr>
        <w:t>. Se for adotado o SRP, mantenha tais cláusulas</w:t>
      </w:r>
    </w:p>
    <w:p w14:paraId="7F0CC6EF" w14:textId="77777777" w:rsidR="0043162F" w:rsidRPr="009F2EA1" w:rsidRDefault="0043162F" w:rsidP="0043162F">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w:t>
      </w:r>
      <w:r w:rsidRPr="009F2EA1">
        <w:rPr>
          <w:rFonts w:asciiTheme="majorHAnsi" w:hAnsiTheme="majorHAnsi" w:cstheme="majorHAnsi"/>
        </w:rPr>
        <w:t xml:space="preserve">As demais cláusulas facultativas estão em </w:t>
      </w:r>
      <w:r w:rsidRPr="00870DC9">
        <w:rPr>
          <w:rFonts w:asciiTheme="majorHAnsi" w:hAnsiTheme="majorHAnsi" w:cstheme="majorHAnsi"/>
          <w:i w:val="0"/>
          <w:color w:val="FF0000"/>
        </w:rPr>
        <w:t>vermelho</w:t>
      </w:r>
      <w:r w:rsidRPr="009F2EA1">
        <w:rPr>
          <w:rFonts w:asciiTheme="majorHAnsi" w:hAnsiTheme="majorHAnsi" w:cstheme="majorHAnsi"/>
        </w:rPr>
        <w:t>, devendo ser consideradas individualmente.</w:t>
      </w:r>
      <w:r w:rsidRPr="009F2EA1">
        <w:rPr>
          <w:rFonts w:asciiTheme="majorHAnsi" w:hAnsiTheme="majorHAnsi" w:cstheme="majorHAnsi"/>
          <w:i w:val="0"/>
          <w:iCs w:val="0"/>
        </w:rPr>
        <w:t xml:space="preserve"> </w:t>
      </w:r>
    </w:p>
    <w:p w14:paraId="293CA3CE" w14:textId="4017D668" w:rsidR="008F0A44" w:rsidRPr="00706EB4" w:rsidRDefault="008F0A44" w:rsidP="006417A1">
      <w:pPr>
        <w:pStyle w:val="Notaexplicativa"/>
        <w:pBdr>
          <w:bottom w:val="single" w:sz="4" w:space="0" w:color="1F497D"/>
        </w:pBdr>
      </w:pPr>
      <w:r w:rsidRPr="00706EB4">
        <w:t>As referências a itens se atualiza</w:t>
      </w:r>
      <w:r w:rsidR="00440A76">
        <w:t>m</w:t>
      </w:r>
      <w:r w:rsidRPr="00706EB4">
        <w:t xml:space="preserve"> automaticamente, basta visualizar o documento como se fosse imprimir.</w:t>
      </w:r>
    </w:p>
    <w:p w14:paraId="1664EDF4" w14:textId="77777777" w:rsidR="008F0A44" w:rsidRPr="00706EB4" w:rsidRDefault="008F0A44" w:rsidP="006417A1">
      <w:pPr>
        <w:pStyle w:val="Notaexplicativa"/>
        <w:pBdr>
          <w:bottom w:val="single" w:sz="4" w:space="0" w:color="1F497D"/>
        </w:pBdr>
      </w:pPr>
      <w:r w:rsidRPr="00706EB4">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D54D09F" w14:textId="4FFA16B6" w:rsidR="006D5FA5" w:rsidRDefault="006D5FA5" w:rsidP="00B973FE">
      <w:pPr>
        <w:spacing w:before="120" w:afterLines="120" w:after="288" w:line="312" w:lineRule="auto"/>
        <w:jc w:val="center"/>
        <w:rPr>
          <w:rFonts w:asciiTheme="majorHAnsi" w:hAnsiTheme="majorHAnsi" w:cstheme="majorHAnsi"/>
          <w:b/>
          <w:i/>
          <w:color w:val="FF0000"/>
          <w:sz w:val="20"/>
          <w:szCs w:val="20"/>
        </w:rPr>
      </w:pPr>
      <w:r w:rsidRPr="00706EB4">
        <w:rPr>
          <w:rFonts w:asciiTheme="majorHAnsi" w:hAnsiTheme="majorHAnsi" w:cstheme="majorHAnsi"/>
          <w:b/>
          <w:i/>
          <w:color w:val="FF0000"/>
          <w:sz w:val="20"/>
          <w:szCs w:val="20"/>
        </w:rPr>
        <w:t>ÓRGÃO OU ENTIDADE PÚBLICA</w:t>
      </w:r>
    </w:p>
    <w:p w14:paraId="484613EA" w14:textId="156BB667" w:rsidR="00427FF8" w:rsidRPr="00427FF8" w:rsidRDefault="00427FF8" w:rsidP="00B973FE">
      <w:pPr>
        <w:spacing w:before="120" w:afterLines="120" w:after="288" w:line="312" w:lineRule="auto"/>
        <w:jc w:val="center"/>
        <w:rPr>
          <w:rFonts w:asciiTheme="majorHAnsi" w:hAnsiTheme="majorHAnsi" w:cstheme="majorHAnsi"/>
          <w:b/>
          <w:sz w:val="20"/>
          <w:szCs w:val="20"/>
        </w:rPr>
      </w:pPr>
      <w:r>
        <w:rPr>
          <w:rFonts w:asciiTheme="majorHAnsi" w:hAnsiTheme="majorHAnsi" w:cstheme="majorHAnsi"/>
          <w:b/>
          <w:sz w:val="20"/>
          <w:szCs w:val="20"/>
        </w:rPr>
        <w:t>TERMO DE REFERÊNCIA - TR</w:t>
      </w:r>
    </w:p>
    <w:p w14:paraId="4037E0A8" w14:textId="77777777" w:rsidR="006D5FA5" w:rsidRPr="00706EB4" w:rsidRDefault="006D5FA5" w:rsidP="00D62932">
      <w:pPr>
        <w:pStyle w:val="Nivel01"/>
        <w:numPr>
          <w:ilvl w:val="0"/>
          <w:numId w:val="9"/>
        </w:numPr>
        <w:spacing w:afterLines="120" w:after="288" w:line="312" w:lineRule="auto"/>
        <w:ind w:left="0" w:firstLine="0"/>
        <w:rPr>
          <w:rFonts w:asciiTheme="majorHAnsi" w:eastAsia="Arial" w:hAnsiTheme="majorHAnsi" w:cstheme="majorHAnsi"/>
        </w:rPr>
      </w:pPr>
      <w:r w:rsidRPr="00706EB4">
        <w:rPr>
          <w:rFonts w:asciiTheme="majorHAnsi" w:hAnsiTheme="majorHAnsi" w:cstheme="majorHAnsi"/>
        </w:rPr>
        <w:t>CONDIÇÕES GERAIS DA CONTRATAÇÃO</w:t>
      </w:r>
    </w:p>
    <w:p w14:paraId="3AB27448" w14:textId="6A1F6F99" w:rsidR="006D5FA5" w:rsidRPr="00706EB4" w:rsidRDefault="002A1DD3" w:rsidP="006E4526">
      <w:pPr>
        <w:pStyle w:val="Nivel2"/>
        <w:rPr>
          <w:b/>
          <w:bCs/>
        </w:rPr>
      </w:pPr>
      <w:r>
        <w:t>Locação do imóvel</w:t>
      </w:r>
      <w:r w:rsidR="006D5FA5" w:rsidRPr="00706EB4">
        <w:t xml:space="preserve"> </w:t>
      </w:r>
      <w:r>
        <w:t>abaixo descrito</w:t>
      </w:r>
      <w:r w:rsidR="006D5FA5" w:rsidRPr="00706EB4">
        <w:t>, conforme condições e exigências estabelecidas neste instrumento.</w:t>
      </w:r>
    </w:p>
    <w:p w14:paraId="6FC0A928" w14:textId="4A705E12" w:rsidR="006D5FA5" w:rsidRPr="002A1DD3" w:rsidRDefault="00F65C7E" w:rsidP="002A1DD3">
      <w:pPr>
        <w:pStyle w:val="Nvel3-R"/>
      </w:pPr>
      <w:r w:rsidRPr="009A4886">
        <w:t>Imóvel situado no endereço</w:t>
      </w:r>
      <w:r w:rsidRPr="009A4886">
        <w:rPr>
          <w:b/>
        </w:rPr>
        <w:t xml:space="preserve"> </w:t>
      </w:r>
      <w:r w:rsidRPr="009A4886">
        <w:t>..................</w:t>
      </w:r>
      <w:r w:rsidRPr="0002499E">
        <w:rPr>
          <w:i w:val="0"/>
          <w:iCs w:val="0"/>
          <w:color w:val="000000" w:themeColor="text1"/>
        </w:rPr>
        <w:t xml:space="preserve">, no Município de </w:t>
      </w:r>
      <w:r w:rsidR="005820DA">
        <w:rPr>
          <w:i w:val="0"/>
          <w:iCs w:val="0"/>
          <w:color w:val="000000" w:themeColor="text1"/>
        </w:rPr>
        <w:t>Laranja da Terra</w:t>
      </w:r>
      <w:r w:rsidRPr="0002499E">
        <w:rPr>
          <w:i w:val="0"/>
          <w:iCs w:val="0"/>
          <w:color w:val="000000" w:themeColor="text1"/>
        </w:rPr>
        <w:t>,</w:t>
      </w:r>
      <w:r w:rsidRPr="009A4886">
        <w:t xml:space="preserve"> objeto da matrícula n</w:t>
      </w:r>
      <w:r>
        <w:t>º</w:t>
      </w:r>
      <w:r w:rsidRPr="009A4886">
        <w:t xml:space="preserve"> ................, do </w:t>
      </w:r>
      <w:r>
        <w:t>1º</w:t>
      </w:r>
      <w:r w:rsidRPr="009A4886">
        <w:t xml:space="preserve"> Ofício de Registro de Imóveis da Comarca de </w:t>
      </w:r>
      <w:r w:rsidR="005820DA">
        <w:t>Laranja da Terra</w:t>
      </w:r>
      <w:r w:rsidRPr="009A4886">
        <w:t>, para abrigar as</w:t>
      </w:r>
      <w:r>
        <w:t xml:space="preserve"> Instalações</w:t>
      </w:r>
      <w:r w:rsidRPr="00962884">
        <w:t xml:space="preserve"> de ...........................</w:t>
      </w:r>
    </w:p>
    <w:p w14:paraId="1DF1A175" w14:textId="69726B57" w:rsidR="00070753" w:rsidRPr="00706EB4" w:rsidRDefault="00070753" w:rsidP="00070753">
      <w:pPr>
        <w:pStyle w:val="Notaexplicativa"/>
        <w:rPr>
          <w:rFonts w:asciiTheme="majorHAnsi" w:hAnsiTheme="majorHAnsi" w:cstheme="majorHAnsi"/>
        </w:rPr>
      </w:pPr>
      <w:bookmarkStart w:id="1" w:name="_Hlk138781155"/>
      <w:r w:rsidRPr="00706EB4">
        <w:rPr>
          <w:b/>
          <w:bCs/>
        </w:rPr>
        <w:t xml:space="preserve">Nota Explicativa: </w:t>
      </w:r>
      <w:r w:rsidR="002A1DD3">
        <w:t>Fazer a descrição completa do imóvel, como todos os elementos que possam individualizar o mesmo.</w:t>
      </w:r>
    </w:p>
    <w:p w14:paraId="0468A21B" w14:textId="77777777" w:rsidR="0002499E" w:rsidRPr="00706EB4" w:rsidRDefault="0002499E" w:rsidP="0002499E">
      <w:pPr>
        <w:pStyle w:val="Nivel2"/>
      </w:pPr>
      <w:bookmarkStart w:id="2" w:name="_Hlk136955639"/>
      <w:bookmarkEnd w:id="1"/>
      <w:r w:rsidRPr="00706EB4">
        <w:lastRenderedPageBreak/>
        <w:t xml:space="preserve">O prazo de </w:t>
      </w:r>
      <w:r w:rsidRPr="006E4526">
        <w:t>vigência</w:t>
      </w:r>
      <w:r w:rsidRPr="00706EB4">
        <w:t xml:space="preserve"> </w:t>
      </w:r>
      <w:r>
        <w:t xml:space="preserve">do contrato será </w:t>
      </w:r>
      <w:r w:rsidRPr="00706EB4">
        <w:t xml:space="preserve">de </w:t>
      </w:r>
      <w:r w:rsidRPr="00CE127D">
        <w:rPr>
          <w:i/>
          <w:iCs/>
          <w:color w:val="FF0000"/>
        </w:rPr>
        <w:t xml:space="preserve">.............................. </w:t>
      </w:r>
      <w:r w:rsidRPr="00706EB4">
        <w:t xml:space="preserve">contados do(a) </w:t>
      </w:r>
      <w:r w:rsidRPr="00440A76">
        <w:rPr>
          <w:i/>
          <w:iCs/>
          <w:color w:val="FF0000"/>
        </w:rPr>
        <w:t>.............................</w:t>
      </w:r>
      <w:r w:rsidRPr="00706EB4">
        <w:t xml:space="preserve">, </w:t>
      </w:r>
      <w:r w:rsidRPr="003D7346">
        <w:t xml:space="preserve">nos termos do </w:t>
      </w:r>
      <w:hyperlink r:id="rId12" w:anchor="art3" w:history="1">
        <w:r w:rsidRPr="003D7346">
          <w:rPr>
            <w:rStyle w:val="Hyperlink"/>
          </w:rPr>
          <w:t>art. 3° da Lei nº 8.245, de 18 de outubro de 1991</w:t>
        </w:r>
      </w:hyperlink>
      <w:r w:rsidRPr="003D7346">
        <w:t xml:space="preserve">, </w:t>
      </w:r>
      <w:r>
        <w:t xml:space="preserve">podendo </w:t>
      </w:r>
      <w:r w:rsidRPr="00CE127D">
        <w:t>ser prorrogado sucessivamente, desde que a autoridade competente ateste que as condições e os preços permanecem vantajosos para a Administração, permitida a negociação.</w:t>
      </w:r>
    </w:p>
    <w:p w14:paraId="57FDC63A" w14:textId="77777777" w:rsidR="0002499E" w:rsidRPr="00875361" w:rsidRDefault="0002499E" w:rsidP="0002499E">
      <w:pPr>
        <w:pStyle w:val="Notaexplicativa"/>
        <w:rPr>
          <w:rFonts w:asciiTheme="majorHAnsi" w:hAnsiTheme="majorHAnsi" w:cstheme="majorHAnsi"/>
        </w:rPr>
      </w:pPr>
      <w:r w:rsidRPr="00E45A88">
        <w:rPr>
          <w:rFonts w:asciiTheme="majorHAnsi" w:hAnsiTheme="majorHAnsi" w:cstheme="majorHAnsi"/>
          <w:b/>
          <w:bCs/>
        </w:rPr>
        <w:t>Nota Explicativa</w:t>
      </w:r>
      <w:r>
        <w:rPr>
          <w:rFonts w:asciiTheme="majorHAnsi" w:hAnsiTheme="majorHAnsi" w:cstheme="majorHAnsi"/>
          <w:b/>
          <w:bCs/>
        </w:rPr>
        <w:t xml:space="preserve"> 1</w:t>
      </w:r>
      <w:r w:rsidRPr="00E45A88">
        <w:rPr>
          <w:rFonts w:asciiTheme="majorHAnsi" w:hAnsiTheme="majorHAnsi" w:cstheme="majorHAnsi"/>
          <w:b/>
          <w:bCs/>
        </w:rPr>
        <w:t xml:space="preserve">: </w:t>
      </w:r>
      <w:r w:rsidRPr="00875361">
        <w:rPr>
          <w:rFonts w:asciiTheme="majorHAnsi" w:hAnsiTheme="majorHAnsi" w:cstheme="majorHAnsi"/>
        </w:rPr>
        <w:t>A Orientação Normativa n</w:t>
      </w:r>
      <w:r>
        <w:rPr>
          <w:rFonts w:asciiTheme="majorHAnsi" w:hAnsiTheme="majorHAnsi" w:cstheme="majorHAnsi"/>
        </w:rPr>
        <w:t>º</w:t>
      </w:r>
      <w:r w:rsidRPr="00875361">
        <w:rPr>
          <w:rFonts w:asciiTheme="majorHAnsi" w:hAnsiTheme="majorHAnsi" w:cstheme="majorHAnsi"/>
        </w:rPr>
        <w:t xml:space="preserve"> 6, de 01/04/2009, do Advogado-Geral da União, determina que "a vigência do contrato de locação de imóveis, no qual a Administração Pública é locatária, rege-se pelo art. 51 da Lei n</w:t>
      </w:r>
      <w:r>
        <w:rPr>
          <w:rFonts w:asciiTheme="majorHAnsi" w:hAnsiTheme="majorHAnsi" w:cstheme="majorHAnsi"/>
        </w:rPr>
        <w:t>º</w:t>
      </w:r>
      <w:r w:rsidRPr="00875361">
        <w:rPr>
          <w:rFonts w:asciiTheme="majorHAnsi" w:hAnsiTheme="majorHAnsi" w:cstheme="majorHAnsi"/>
        </w:rPr>
        <w:t xml:space="preserve"> 8.245, de 1991, não estando sujeita ao limite máximo de sessenta meses, estipulado pelo inc. II do art. 57, da Lei n</w:t>
      </w:r>
      <w:r>
        <w:rPr>
          <w:rFonts w:asciiTheme="majorHAnsi" w:hAnsiTheme="majorHAnsi" w:cstheme="majorHAnsi"/>
        </w:rPr>
        <w:t>º</w:t>
      </w:r>
      <w:r w:rsidRPr="00875361">
        <w:rPr>
          <w:rFonts w:asciiTheme="majorHAnsi" w:hAnsiTheme="majorHAnsi" w:cstheme="majorHAnsi"/>
        </w:rPr>
        <w:t xml:space="preserve"> 8.666, de 1993".</w:t>
      </w:r>
    </w:p>
    <w:p w14:paraId="3DAA7AEF" w14:textId="77777777" w:rsidR="0002499E" w:rsidRPr="0001247A" w:rsidRDefault="0002499E" w:rsidP="0002499E">
      <w:pPr>
        <w:pStyle w:val="Notaexplicativa"/>
        <w:rPr>
          <w:rFonts w:asciiTheme="majorHAnsi" w:hAnsiTheme="majorHAnsi" w:cstheme="majorHAnsi"/>
        </w:rPr>
      </w:pPr>
      <w:r>
        <w:rPr>
          <w:rFonts w:asciiTheme="majorHAnsi" w:hAnsiTheme="majorHAnsi" w:cstheme="majorHAnsi"/>
          <w:b/>
          <w:bCs/>
        </w:rPr>
        <w:t xml:space="preserve">Nota Explicativa 2*: </w:t>
      </w:r>
      <w:r w:rsidRPr="0001247A">
        <w:rPr>
          <w:rFonts w:asciiTheme="majorHAnsi" w:hAnsiTheme="majorHAnsi" w:cstheme="majorHAnsi"/>
        </w:rPr>
        <w:t>Um dos princípios fundamentais da república brasileira é o respeito a propriedade privada. Por consequência, quando a administração Pública ocupa o imóvel particular em contrato de locação, sujeita-se à regra comum de locação, com as exceções que essa própria norma estabelece.</w:t>
      </w:r>
    </w:p>
    <w:p w14:paraId="503AF0D3" w14:textId="77777777" w:rsidR="0002499E" w:rsidRPr="0001247A" w:rsidRDefault="0002499E" w:rsidP="0002499E">
      <w:pPr>
        <w:pStyle w:val="Notaexplicativa"/>
        <w:rPr>
          <w:rFonts w:asciiTheme="majorHAnsi" w:hAnsiTheme="majorHAnsi" w:cstheme="majorHAnsi"/>
        </w:rPr>
      </w:pPr>
      <w:r w:rsidRPr="0001247A">
        <w:rPr>
          <w:rFonts w:asciiTheme="majorHAnsi" w:hAnsiTheme="majorHAnsi" w:cstheme="majorHAnsi"/>
        </w:rPr>
        <w:t>Nessa condição de inquilina, a Administração Pública seguirá a Lei nº 8.245, de 1991, que dispõem sobre as locações dos imóveis urbanos.</w:t>
      </w:r>
    </w:p>
    <w:p w14:paraId="0035ABDE" w14:textId="77777777" w:rsidR="0002499E" w:rsidRPr="0001247A" w:rsidRDefault="0002499E" w:rsidP="0002499E">
      <w:pPr>
        <w:pStyle w:val="Notaexplicativa"/>
        <w:rPr>
          <w:rFonts w:asciiTheme="majorHAnsi" w:hAnsiTheme="majorHAnsi" w:cstheme="majorHAnsi"/>
        </w:rPr>
      </w:pPr>
      <w:r w:rsidRPr="0001247A">
        <w:rPr>
          <w:rFonts w:asciiTheme="majorHAnsi" w:hAnsiTheme="majorHAnsi" w:cstheme="majorHAnsi"/>
        </w:rPr>
        <w:t>Na condição de inquilina, a Administração Pública seguei, inclusive, o prazo da lei de locação, admitindo-se o contrato por prazo indeterminado, previsto nessa legislação, mesmo quando a Lei de Licitações vedava o contrato por prazo indeterminado.</w:t>
      </w:r>
    </w:p>
    <w:p w14:paraId="260F15A1" w14:textId="77777777" w:rsidR="0002499E" w:rsidRPr="0001247A" w:rsidRDefault="0002499E" w:rsidP="0002499E">
      <w:pPr>
        <w:pStyle w:val="Notaexplicativa"/>
        <w:rPr>
          <w:rFonts w:asciiTheme="majorHAnsi" w:hAnsiTheme="majorHAnsi" w:cstheme="majorHAnsi"/>
        </w:rPr>
      </w:pPr>
      <w:r w:rsidRPr="0001247A">
        <w:rPr>
          <w:rFonts w:asciiTheme="majorHAnsi" w:hAnsiTheme="majorHAnsi" w:cstheme="majorHAnsi"/>
        </w:rPr>
        <w:t>A jurisprudência do TCU, a esse tempo, considerava em parte esse entendimento.</w:t>
      </w:r>
    </w:p>
    <w:p w14:paraId="2BBD7AE3" w14:textId="77777777" w:rsidR="0002499E" w:rsidRPr="0001247A" w:rsidRDefault="0002499E" w:rsidP="0002499E">
      <w:pPr>
        <w:pStyle w:val="Notaexplicativa"/>
        <w:rPr>
          <w:rFonts w:asciiTheme="majorHAnsi" w:hAnsiTheme="majorHAnsi" w:cstheme="majorHAnsi"/>
        </w:rPr>
      </w:pPr>
      <w:r w:rsidRPr="0001247A">
        <w:rPr>
          <w:rFonts w:asciiTheme="majorHAnsi" w:hAnsiTheme="majorHAnsi" w:cstheme="majorHAnsi"/>
        </w:rPr>
        <w:t>Em precedente ainda útil à compreensão, quando a unidade técnica considerou que o prazo era apenas cinco anos, o relator divergiu e esclareceu o seguinte: “Em referência ao fato do contrato de locação da agência do Meridional de Alvorada/RS vir sendo prorrogado desde 1985, esclareço que o art. 24 da Lei nº 8.666/93, no seu inciso X, prevê a dispensa de licitação para compra ou locação de imóvel destinado ao atendimento das finalidades precípuas da Administração, cujas necessidades de instalação e localização condicionem a sua escolha, desde que o preço seja compatível com o valor de mercado, segundo avaliação prévia. Dessa maneira não me parece que haja nenhum óbice legal às prorrogações sucessivas do referido contrato, uma vez que a lei permite a sua celebração através de dispensa do processo licitatório - Processo TC nº 625.062/1996-5. Decisão nº 503/1996 - Plenário. Relator: Min. Humberto Souto”.</w:t>
      </w:r>
    </w:p>
    <w:p w14:paraId="1F201D93" w14:textId="77777777" w:rsidR="0002499E" w:rsidRPr="0001247A" w:rsidRDefault="0002499E" w:rsidP="0002499E">
      <w:pPr>
        <w:pStyle w:val="Notaexplicativa"/>
        <w:rPr>
          <w:rFonts w:asciiTheme="majorHAnsi" w:hAnsiTheme="majorHAnsi" w:cstheme="majorHAnsi"/>
        </w:rPr>
      </w:pPr>
      <w:r w:rsidRPr="0001247A">
        <w:rPr>
          <w:rFonts w:asciiTheme="majorHAnsi" w:hAnsiTheme="majorHAnsi" w:cstheme="majorHAnsi"/>
        </w:rPr>
        <w:t>Posteriormente, o Tribunal de Contas da União, respondendo à consulta, decidiu que a prorrogação do prazo por tempo indeterminado não pode ser aplicada.</w:t>
      </w:r>
    </w:p>
    <w:p w14:paraId="2E1B5257" w14:textId="77777777" w:rsidR="0002499E" w:rsidRPr="0001247A" w:rsidRDefault="0002499E" w:rsidP="0002499E">
      <w:pPr>
        <w:pStyle w:val="Notaexplicativa"/>
        <w:rPr>
          <w:rFonts w:asciiTheme="majorHAnsi" w:hAnsiTheme="majorHAnsi" w:cstheme="majorHAnsi"/>
        </w:rPr>
      </w:pPr>
      <w:r w:rsidRPr="0001247A">
        <w:rPr>
          <w:rFonts w:asciiTheme="majorHAnsi" w:hAnsiTheme="majorHAnsi" w:cstheme="majorHAnsi"/>
        </w:rPr>
        <w:t xml:space="preserve">A decisão ainda pode ser considerada como válida, porque tenta harmonizar a permissão do contrato por prazo indeterminado com a necessidade de assegurar prazos até para que o processo decisório seja </w:t>
      </w:r>
      <w:proofErr w:type="spellStart"/>
      <w:r w:rsidRPr="0001247A">
        <w:rPr>
          <w:rFonts w:asciiTheme="majorHAnsi" w:hAnsiTheme="majorHAnsi" w:cstheme="majorHAnsi"/>
        </w:rPr>
        <w:t>reavalidado</w:t>
      </w:r>
      <w:proofErr w:type="spellEnd"/>
      <w:r w:rsidRPr="0001247A">
        <w:rPr>
          <w:rFonts w:asciiTheme="majorHAnsi" w:hAnsiTheme="majorHAnsi" w:cstheme="majorHAnsi"/>
        </w:rPr>
        <w:t>: “9.1. conhecer da presente consulta, por preencher os requisitos de admissibilidade previstos no art. 1º, inciso XVII, da Lei nº 8.443/92 c/c art. 264, inciso III, do RITCU, para responder ao consulente, relativamente aos contratos de locação de imóveis em que a Administração Pública figura como locatária, que: 9.1.1 pelo disposto no art. 62, § 3º, inciso I, da Lei nº 8.666/93, não se aplicam as restrições constantes do art. 57 da mesma Lei;9.1.2. não se aplica a possibilidade de ajustes verbais e prorrogações automáticas por prazo indeterminado, condição prevista no artigo 47 da Lei nº 8.245/91, tendo em vista que (i) o parágrafo único do art. 60 da Lei nº 8.666/93, aplicado a esses contratos conforme dispõe o § 3º do art. 62 da mesma Lei, considera nulo e de nenhum efeito o contrato verbal com a Administração e (ii) o interesse público, princípio basilar para o desempenho da Administração Pública, que visa atender aos interesses e necessidades da coletividade, impede a prorrogação desses contratos por prazo indeterminado; 9.1.3. a vigência e prorrogação deve ser analisada caso a caso, sempre de acordo com a legislação que se lhe impõe e conforme os princípios que regem a Administração Pública, em especial quanto à verificação da vantajosidade da proposta em confronto com outras opções, nos termos do art. 3º da Lei nº 8.666/93; (…) – Processo TC nº 002.210/2009-0. Acórdão nº 1.127/2009 – Plenário. Relator: Min. Benjamin Zymler”.</w:t>
      </w:r>
    </w:p>
    <w:p w14:paraId="6932A773" w14:textId="77777777" w:rsidR="0002499E" w:rsidRPr="0001247A" w:rsidRDefault="0002499E" w:rsidP="0002499E">
      <w:pPr>
        <w:pStyle w:val="Notaexplicativa"/>
        <w:rPr>
          <w:rFonts w:asciiTheme="majorHAnsi" w:hAnsiTheme="majorHAnsi" w:cstheme="majorHAnsi"/>
        </w:rPr>
      </w:pPr>
      <w:r w:rsidRPr="0001247A">
        <w:rPr>
          <w:rFonts w:asciiTheme="majorHAnsi" w:hAnsiTheme="majorHAnsi" w:cstheme="majorHAnsi"/>
        </w:rPr>
        <w:t xml:space="preserve">Considerando o teor da lei da locação urbana e da decisão acima, pode-se concluir nos seguintes termos: a) não se aplicam aos contratos de locação as limitações de prazo em geral, podendo ser estabelecido, desde logo, prazo compatível com a necessidade de amortizar os investimentos feitos, se os investimentos foram feitos pela Administração Pública, a fixação de prazo adequado atende ao interesse público; se os investimentos foram feitos pelo particular, além da motivação para a realização dos investimentos pelo particular, a garantia do prazo atende também ao interesse público de respeitar o princípio da boa-fé dos contratantes; b) embora a Lei de </w:t>
      </w:r>
      <w:r w:rsidRPr="0001247A">
        <w:rPr>
          <w:rFonts w:asciiTheme="majorHAnsi" w:hAnsiTheme="majorHAnsi" w:cstheme="majorHAnsi"/>
        </w:rPr>
        <w:lastRenderedPageBreak/>
        <w:t>locação - Lei nº 8.245/1191 -, que é aplicável ao caso, permita a prorrogação por vigência indeterminada, o TCU recomenda que sejam as prorrogações objeto de aditivo contratuais específicos; essa decisão ainda pode ser aproveitas, porque não é contra a lei, mas esta coerente com a permissão legal; c) para cada aditivo deverá ser estabelecido prazo - e o TCU corretamente não fixou qual é esse prazo; não fixou, nem poderia fazê-lo; d) esse prazo deve assegurar para a Administração a condição mais vantajosa.</w:t>
      </w:r>
    </w:p>
    <w:p w14:paraId="574ECA6E" w14:textId="77777777" w:rsidR="0002499E" w:rsidRDefault="0002499E" w:rsidP="0002499E">
      <w:pPr>
        <w:pStyle w:val="Notaexplicativa"/>
        <w:rPr>
          <w:rFonts w:asciiTheme="majorHAnsi" w:hAnsiTheme="majorHAnsi" w:cstheme="majorHAnsi"/>
        </w:rPr>
      </w:pPr>
      <w:r w:rsidRPr="0001247A">
        <w:rPr>
          <w:rFonts w:asciiTheme="majorHAnsi" w:hAnsiTheme="majorHAnsi" w:cstheme="majorHAnsi"/>
        </w:rPr>
        <w:t>Importa ainda observar que muitos investimentos já feitos nos imóveis com adaptações podem e devem ser considerados como elemento do processo decisório da renovação. Vetores como legalidade, economicidade e oportunidade de reformas devem atuar de forma conjunta.</w:t>
      </w:r>
    </w:p>
    <w:p w14:paraId="04B8CE22" w14:textId="77777777" w:rsidR="0002499E" w:rsidRPr="0001247A" w:rsidRDefault="0002499E" w:rsidP="0002499E">
      <w:pPr>
        <w:pStyle w:val="Notaexplicativa"/>
        <w:rPr>
          <w:rFonts w:asciiTheme="majorHAnsi" w:hAnsiTheme="majorHAnsi" w:cstheme="majorHAnsi"/>
          <w:sz w:val="18"/>
          <w:szCs w:val="18"/>
        </w:rPr>
      </w:pPr>
      <w:r w:rsidRPr="0001247A">
        <w:rPr>
          <w:rFonts w:asciiTheme="majorHAnsi" w:hAnsiTheme="majorHAnsi" w:cstheme="majorHAnsi"/>
          <w:b/>
          <w:bCs/>
          <w:sz w:val="18"/>
          <w:szCs w:val="18"/>
        </w:rPr>
        <w:t xml:space="preserve">* </w:t>
      </w:r>
      <w:r w:rsidRPr="0001247A">
        <w:rPr>
          <w:rFonts w:asciiTheme="majorHAnsi" w:hAnsiTheme="majorHAnsi" w:cstheme="majorHAnsi"/>
          <w:sz w:val="18"/>
          <w:szCs w:val="18"/>
        </w:rPr>
        <w:t xml:space="preserve">Texto extraído da obra: FERNANDES, Ana Liza </w:t>
      </w:r>
      <w:proofErr w:type="spellStart"/>
      <w:r w:rsidRPr="0001247A">
        <w:rPr>
          <w:rFonts w:asciiTheme="majorHAnsi" w:hAnsiTheme="majorHAnsi" w:cstheme="majorHAnsi"/>
          <w:sz w:val="18"/>
          <w:szCs w:val="18"/>
        </w:rPr>
        <w:t>Jocoby</w:t>
      </w:r>
      <w:proofErr w:type="spellEnd"/>
      <w:r w:rsidRPr="0001247A">
        <w:rPr>
          <w:rFonts w:asciiTheme="majorHAnsi" w:hAnsiTheme="majorHAnsi" w:cstheme="majorHAnsi"/>
          <w:sz w:val="18"/>
          <w:szCs w:val="18"/>
        </w:rPr>
        <w:t xml:space="preserve">; FERNANDES, Jorge Ulisses </w:t>
      </w:r>
      <w:proofErr w:type="spellStart"/>
      <w:r w:rsidRPr="0001247A">
        <w:rPr>
          <w:rFonts w:asciiTheme="majorHAnsi" w:hAnsiTheme="majorHAnsi" w:cstheme="majorHAnsi"/>
          <w:sz w:val="18"/>
          <w:szCs w:val="18"/>
        </w:rPr>
        <w:t>Jacoby</w:t>
      </w:r>
      <w:proofErr w:type="spellEnd"/>
      <w:r w:rsidRPr="0001247A">
        <w:rPr>
          <w:rFonts w:asciiTheme="majorHAnsi" w:hAnsiTheme="majorHAnsi" w:cstheme="majorHAnsi"/>
          <w:sz w:val="18"/>
          <w:szCs w:val="18"/>
        </w:rPr>
        <w:t xml:space="preserve">; FERNANDES, Murilo </w:t>
      </w:r>
      <w:proofErr w:type="spellStart"/>
      <w:r w:rsidRPr="0001247A">
        <w:rPr>
          <w:rFonts w:asciiTheme="majorHAnsi" w:hAnsiTheme="majorHAnsi" w:cstheme="majorHAnsi"/>
          <w:sz w:val="18"/>
          <w:szCs w:val="18"/>
        </w:rPr>
        <w:t>Jacoby</w:t>
      </w:r>
      <w:proofErr w:type="spellEnd"/>
      <w:r w:rsidRPr="0001247A">
        <w:rPr>
          <w:rFonts w:asciiTheme="majorHAnsi" w:hAnsiTheme="majorHAnsi" w:cstheme="majorHAnsi"/>
          <w:sz w:val="18"/>
          <w:szCs w:val="18"/>
        </w:rPr>
        <w:t>. Contratação Direta Sem Licitação na Nova Lei de Licitações: Lei nº 14.133/2021. 11ª ed. Belo Horizonte: Fórum, 2021. pp. 165/167.</w:t>
      </w:r>
    </w:p>
    <w:p w14:paraId="40C89E9B" w14:textId="77777777" w:rsidR="0002499E" w:rsidRPr="00875361" w:rsidRDefault="0002499E" w:rsidP="0002499E">
      <w:pPr>
        <w:pStyle w:val="Notaexplicativa"/>
        <w:rPr>
          <w:rFonts w:asciiTheme="majorHAnsi" w:hAnsiTheme="majorHAnsi" w:cstheme="majorHAnsi"/>
        </w:rPr>
      </w:pPr>
      <w:r>
        <w:rPr>
          <w:rFonts w:asciiTheme="majorHAnsi" w:hAnsiTheme="majorHAnsi" w:cstheme="majorHAnsi"/>
          <w:b/>
          <w:bCs/>
        </w:rPr>
        <w:t xml:space="preserve">Nota Explicativa 3: </w:t>
      </w:r>
      <w:r w:rsidRPr="00875361">
        <w:rPr>
          <w:rFonts w:asciiTheme="majorHAnsi" w:hAnsiTheme="majorHAnsi" w:cstheme="majorHAnsi"/>
        </w:rPr>
        <w:t xml:space="preserve">Portanto, a vigência de tal contrato não se limita à vigência </w:t>
      </w:r>
      <w:r>
        <w:rPr>
          <w:rFonts w:asciiTheme="majorHAnsi" w:hAnsiTheme="majorHAnsi" w:cstheme="majorHAnsi"/>
        </w:rPr>
        <w:t>prevista na Lei nº 14.133, de 2021,</w:t>
      </w:r>
      <w:r w:rsidRPr="00875361">
        <w:rPr>
          <w:rFonts w:asciiTheme="majorHAnsi" w:hAnsiTheme="majorHAnsi" w:cstheme="majorHAnsi"/>
        </w:rPr>
        <w:t xml:space="preserve"> por outro lado, também não pode ser indeterminada, nem engessar o interesse da Administração em eventualmente findar um ajuste que já não mais se lhe apresenta vantajoso.</w:t>
      </w:r>
    </w:p>
    <w:p w14:paraId="6B79793F" w14:textId="77777777" w:rsidR="0002499E" w:rsidRPr="00E45A88" w:rsidRDefault="0002499E" w:rsidP="0002499E">
      <w:pPr>
        <w:pStyle w:val="Notaexplicativa"/>
        <w:rPr>
          <w:rFonts w:asciiTheme="majorHAnsi" w:hAnsiTheme="majorHAnsi" w:cstheme="majorHAnsi"/>
        </w:rPr>
      </w:pPr>
      <w:r w:rsidRPr="00875361">
        <w:rPr>
          <w:rFonts w:asciiTheme="majorHAnsi" w:hAnsiTheme="majorHAnsi" w:cstheme="majorHAnsi"/>
        </w:rPr>
        <w:t>Assim, cumpre ao órgão estabelecer, caso a caso, um prazo de vigência que atenda a suas necessidades, porém limitado e adequado à preservação do interesse público.</w:t>
      </w:r>
    </w:p>
    <w:bookmarkEnd w:id="2"/>
    <w:p w14:paraId="6AE93BA8" w14:textId="70F3635D" w:rsidR="00C70979" w:rsidRPr="005E63B6" w:rsidRDefault="00C70979" w:rsidP="00C70979">
      <w:pPr>
        <w:pStyle w:val="Nivel2"/>
      </w:pPr>
      <w:r w:rsidRPr="005E63B6">
        <w:t xml:space="preserve">O contrato oferece </w:t>
      </w:r>
      <w:r w:rsidRPr="000B5B9A">
        <w:t>maior</w:t>
      </w:r>
      <w:r w:rsidRPr="005E63B6">
        <w:t xml:space="preserve"> detalhamento das regras que serão aplicadas em relação à vigência da </w:t>
      </w:r>
      <w:r w:rsidR="004B76A1">
        <w:t>locação</w:t>
      </w:r>
      <w:r w:rsidRPr="005E63B6">
        <w:t>.</w:t>
      </w:r>
    </w:p>
    <w:p w14:paraId="32A59EDB" w14:textId="7C8A4536" w:rsidR="006D5FA5" w:rsidRPr="00706EB4" w:rsidRDefault="006D5FA5" w:rsidP="006E4526">
      <w:pPr>
        <w:pStyle w:val="Nivel01"/>
      </w:pPr>
      <w:r w:rsidRPr="00706EB4">
        <w:t>FUNDAMENTAÇÃO E DESCRIÇÃO DA NECESSIDADE DA CONTRATAÇÃO</w:t>
      </w:r>
    </w:p>
    <w:p w14:paraId="16CC009E" w14:textId="4B976B9A" w:rsidR="006D5FA5" w:rsidRPr="00706EB4" w:rsidRDefault="006D5FA5" w:rsidP="006E4526">
      <w:pPr>
        <w:pStyle w:val="Nivel2"/>
      </w:pPr>
      <w:r w:rsidRPr="00706EB4">
        <w:t xml:space="preserve">A </w:t>
      </w:r>
      <w:r w:rsidRPr="006E4526">
        <w:t>Fundamentação</w:t>
      </w:r>
      <w:r w:rsidRPr="00706EB4">
        <w:t xml:space="preserve"> da </w:t>
      </w:r>
      <w:r w:rsidR="004B76A1">
        <w:t>Locação</w:t>
      </w:r>
      <w:r w:rsidRPr="00706EB4">
        <w:t xml:space="preserve"> encontra-se pormenorizada em Tópico específico do Estudo Técnico Preliminar, apêndice deste Termo de Referência.</w:t>
      </w:r>
    </w:p>
    <w:p w14:paraId="4F4FF955" w14:textId="77777777" w:rsidR="00607C78" w:rsidRDefault="00607C78" w:rsidP="00607C78">
      <w:pPr>
        <w:pStyle w:val="Notaexplicativa"/>
        <w:rPr>
          <w:rFonts w:asciiTheme="majorHAnsi" w:hAnsiTheme="majorHAnsi" w:cstheme="majorHAnsi"/>
        </w:rPr>
      </w:pPr>
      <w:r>
        <w:rPr>
          <w:b/>
          <w:bCs/>
        </w:rPr>
        <w:t>Nota Explicativa:</w:t>
      </w:r>
      <w:r>
        <w:t xml:space="preserve"> De acordo com o </w:t>
      </w:r>
      <w:hyperlink r:id="rId13" w:anchor="art6" w:history="1">
        <w:r>
          <w:rPr>
            <w:rStyle w:val="Hyperlink"/>
          </w:rPr>
          <w:t>art. 6º, XXIII, c da Lei nº 14.133, de 2021</w:t>
        </w:r>
      </w:hyperlink>
      <w:r>
        <w:t>, a fundamentação da contratação é realizada mediante “referência aos estudos técnicos preliminares (ETP) correspondentes ou, quando não for possível divulgar esses estudos, no extrato das partes que não contiverem informações sigilosas”.</w:t>
      </w:r>
    </w:p>
    <w:p w14:paraId="79CF6CF3" w14:textId="77777777" w:rsidR="006D5FA5" w:rsidRPr="00706EB4" w:rsidRDefault="006D5FA5" w:rsidP="006E4526">
      <w:pPr>
        <w:pStyle w:val="Nivel01"/>
      </w:pPr>
      <w:r w:rsidRPr="00706EB4">
        <w:t xml:space="preserve">DESCRIÇÃO DA </w:t>
      </w:r>
      <w:r w:rsidRPr="006E4526">
        <w:t>SOLUÇÃO</w:t>
      </w:r>
      <w:r w:rsidRPr="00706EB4">
        <w:t xml:space="preserve"> COMO UM TODO CONSIDERADO O CICLO DE VIDA DO OBJETO E ESPECIFICAÇÃO DO PRODUTO</w:t>
      </w:r>
    </w:p>
    <w:p w14:paraId="2593A0A3" w14:textId="328F6CD0" w:rsidR="006D5FA5" w:rsidRPr="00706EB4" w:rsidRDefault="006D5FA5" w:rsidP="006E4526">
      <w:pPr>
        <w:pStyle w:val="Nvel2-Red"/>
      </w:pPr>
      <w:bookmarkStart w:id="3" w:name="_Ref127327618"/>
      <w:r w:rsidRPr="00706EB4">
        <w:t xml:space="preserve">A descrição da </w:t>
      </w:r>
      <w:r w:rsidRPr="006E4526">
        <w:t>solução</w:t>
      </w:r>
      <w:r w:rsidRPr="00706EB4">
        <w:t xml:space="preserve"> como um todo encontra-se pormenorizada em tópico específico do Estudo Técnico Preliminar, apêndice deste Termo de Referência.</w:t>
      </w:r>
      <w:bookmarkEnd w:id="3"/>
    </w:p>
    <w:p w14:paraId="75AE5BFE" w14:textId="34A80F8A" w:rsidR="00B809E9" w:rsidRPr="00706EB4" w:rsidRDefault="00B809E9" w:rsidP="00B809E9">
      <w:pPr>
        <w:pStyle w:val="Notaexplicativa"/>
      </w:pPr>
      <w:r w:rsidRPr="00706EB4">
        <w:rPr>
          <w:b/>
          <w:bCs/>
        </w:rPr>
        <w:t>Nota Explicativa 1:</w:t>
      </w:r>
      <w:r w:rsidRPr="00706EB4">
        <w:t xml:space="preserve"> Art. 18, §1º da Lei nº 14.133, de 2021, contém a seguinte redação: </w:t>
      </w:r>
    </w:p>
    <w:p w14:paraId="3D0C23F9" w14:textId="55251C2E" w:rsidR="00B809E9" w:rsidRPr="00706EB4" w:rsidRDefault="00B809E9" w:rsidP="00B809E9">
      <w:pPr>
        <w:pStyle w:val="Notaexplicativa"/>
      </w:pPr>
      <w:r w:rsidRPr="00706EB4">
        <w:t>§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r w:rsidR="00B3234D" w:rsidRPr="00706EB4">
        <w:t xml:space="preserve"> </w:t>
      </w:r>
      <w:r w:rsidRPr="00706EB4">
        <w:t>VII - descrição da solução como um todo, inclusive das exigências relacionadas à manutenção e à assistência técnica, quando for o caso.</w:t>
      </w:r>
    </w:p>
    <w:p w14:paraId="6E2006F9" w14:textId="61FDFEBD" w:rsidR="00B809E9" w:rsidRPr="00706EB4" w:rsidRDefault="00B809E9" w:rsidP="00B809E9">
      <w:pPr>
        <w:pStyle w:val="Notaexplicativa"/>
      </w:pPr>
      <w:r w:rsidRPr="00706EB4">
        <w:t xml:space="preserve">Caso haja a necessidade de modificação da descrição em relação à originalmente feita nos estudos técnicos preliminares, recomenda-se o dispositivo </w:t>
      </w:r>
      <w:r w:rsidRPr="00706EB4">
        <w:fldChar w:fldCharType="begin"/>
      </w:r>
      <w:r w:rsidRPr="00706EB4">
        <w:instrText xml:space="preserve"> REF _Ref127327618 \r \h </w:instrText>
      </w:r>
      <w:r w:rsidR="00706EB4">
        <w:instrText xml:space="preserve"> \* MERGEFORMAT </w:instrText>
      </w:r>
      <w:r w:rsidRPr="00706EB4">
        <w:fldChar w:fldCharType="separate"/>
      </w:r>
      <w:r w:rsidRPr="00706EB4">
        <w:t>3.1</w:t>
      </w:r>
      <w:r w:rsidRPr="00706EB4">
        <w:fldChar w:fldCharType="end"/>
      </w:r>
      <w:r w:rsidRPr="00706EB4">
        <w:t>,</w:t>
      </w:r>
      <w:r w:rsidR="00B3234D" w:rsidRPr="00706EB4">
        <w:t xml:space="preserve"> acima,</w:t>
      </w:r>
      <w:r w:rsidRPr="00706EB4">
        <w:t xml:space="preserve"> para que passe a contemplar essa alteração.</w:t>
      </w:r>
    </w:p>
    <w:p w14:paraId="5DB85F0A" w14:textId="77777777" w:rsidR="00B809E9" w:rsidRPr="00706EB4" w:rsidRDefault="00B809E9" w:rsidP="00B809E9">
      <w:pPr>
        <w:pStyle w:val="Notaexplicativa"/>
      </w:pPr>
      <w:r w:rsidRPr="00706EB4">
        <w:rPr>
          <w:b/>
          <w:bCs/>
        </w:rPr>
        <w:t>Nota Explicativa 2:</w:t>
      </w:r>
      <w:r w:rsidRPr="00706EB4">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art. 34, §1º da Lei nº 14.133, de 2021. Logo, a definição do menor dispêndio para Administração deve levar em consideração esse aspecto.</w:t>
      </w:r>
    </w:p>
    <w:p w14:paraId="0522E1B9" w14:textId="62BD74D0" w:rsidR="00B809E9" w:rsidRPr="00706EB4" w:rsidRDefault="00B809E9" w:rsidP="00B809E9">
      <w:pPr>
        <w:pStyle w:val="Notaexplicativa"/>
      </w:pPr>
      <w:r w:rsidRPr="00706EB4">
        <w:rPr>
          <w:b/>
          <w:bCs/>
        </w:rPr>
        <w:t xml:space="preserve">Nota Explicativa 3: </w:t>
      </w:r>
      <w:r w:rsidRPr="00706EB4">
        <w:t xml:space="preserve">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w:t>
      </w:r>
    </w:p>
    <w:p w14:paraId="263A1694" w14:textId="67AF116A" w:rsidR="00B809E9" w:rsidRPr="00706EB4" w:rsidRDefault="00B809E9" w:rsidP="00B809E9">
      <w:pPr>
        <w:pStyle w:val="Notaexplicativa"/>
      </w:pPr>
      <w:r w:rsidRPr="00706EB4">
        <w:rPr>
          <w:b/>
          <w:bCs/>
        </w:rPr>
        <w:lastRenderedPageBreak/>
        <w:t xml:space="preserve">Nota Explicativa 4: </w:t>
      </w:r>
      <w:r w:rsidRPr="00706EB4">
        <w:t xml:space="preserve">O art. 6º, XXIII, c da Lei nº 14.133, de 2021,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706EB4">
        <w:rPr>
          <w:b/>
          <w:bCs/>
        </w:rPr>
        <w:t>Reitere-se: se a descrição contida no ETP não contiver esse ponto, deve ser complementada neste TR</w:t>
      </w:r>
      <w:r w:rsidRPr="00706EB4">
        <w:t>.</w:t>
      </w:r>
    </w:p>
    <w:p w14:paraId="38F0C2D3" w14:textId="19E54CD8" w:rsidR="006D5FA5" w:rsidRPr="00706EB4" w:rsidRDefault="006D5FA5" w:rsidP="006E4526">
      <w:pPr>
        <w:pStyle w:val="Nivel01"/>
      </w:pPr>
      <w:r w:rsidRPr="006E4526">
        <w:t>REQUISITOS</w:t>
      </w:r>
      <w:r w:rsidRPr="00706EB4">
        <w:t xml:space="preserve"> DA CONTRATAÇÃO</w:t>
      </w:r>
    </w:p>
    <w:p w14:paraId="0CC1AA93" w14:textId="7EA2BD03" w:rsidR="00B809E9" w:rsidRPr="00706EB4" w:rsidRDefault="00AD48F6" w:rsidP="00B809E9">
      <w:pPr>
        <w:pStyle w:val="Notaexplicativa"/>
      </w:pPr>
      <w:r w:rsidRPr="00706EB4">
        <w:rPr>
          <w:b/>
          <w:bCs/>
        </w:rPr>
        <w:t>Nota Explicativa:</w:t>
      </w:r>
      <w:r w:rsidR="00B809E9" w:rsidRPr="00706EB4">
        <w:rPr>
          <w:b/>
          <w:bCs/>
        </w:rPr>
        <w:t xml:space="preserve"> </w:t>
      </w:r>
      <w:r w:rsidR="00B809E9" w:rsidRPr="00706EB4">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FORNECEDOR) de modo que sua inclusão aqui seria redundante.</w:t>
      </w:r>
    </w:p>
    <w:p w14:paraId="2C14821E" w14:textId="77777777" w:rsidR="008A3A5E" w:rsidRPr="008A3A5E" w:rsidRDefault="008A3A5E" w:rsidP="008A3A5E">
      <w:pPr>
        <w:pStyle w:val="Nvel1-SemNum"/>
        <w:rPr>
          <w:i/>
        </w:rPr>
      </w:pPr>
      <w:r w:rsidRPr="008A3A5E">
        <w:rPr>
          <w:i/>
        </w:rPr>
        <w:t>Sustentabilidade</w:t>
      </w:r>
    </w:p>
    <w:p w14:paraId="29D08A33" w14:textId="77777777" w:rsidR="008A3A5E" w:rsidRDefault="008A3A5E" w:rsidP="00D62932">
      <w:pPr>
        <w:pStyle w:val="Nivel2"/>
        <w:numPr>
          <w:ilvl w:val="1"/>
          <w:numId w:val="9"/>
        </w:numPr>
        <w:spacing w:afterLines="120" w:after="288" w:line="312" w:lineRule="auto"/>
        <w:ind w:left="0" w:firstLine="0"/>
        <w:rPr>
          <w:rFonts w:asciiTheme="majorHAnsi" w:hAnsiTheme="majorHAnsi" w:cstheme="majorHAnsi"/>
          <w:i/>
          <w:iCs/>
          <w:color w:val="FF0000"/>
        </w:rPr>
      </w:pPr>
      <w:r>
        <w:rPr>
          <w:rFonts w:asciiTheme="majorHAnsi" w:hAnsiTheme="majorHAnsi" w:cstheme="majorHAnsi"/>
          <w:i/>
          <w:iCs/>
          <w:color w:val="FF0000"/>
        </w:rPr>
        <w:t xml:space="preserve">Além dos critérios de sustentabilidade eventualmente inseridos na descrição do objeto, devem ser atendidos os seguintes requisitos, que se baseiam no </w:t>
      </w:r>
      <w:hyperlink r:id="rId14" w:history="1">
        <w:r>
          <w:rPr>
            <w:rStyle w:val="Hyperlink"/>
            <w:rFonts w:asciiTheme="majorHAnsi" w:hAnsiTheme="majorHAnsi" w:cstheme="majorHAnsi"/>
            <w:i/>
            <w:iCs/>
          </w:rPr>
          <w:t>Guia Nacional de Contratações Sustentáveis</w:t>
        </w:r>
      </w:hyperlink>
      <w:r>
        <w:rPr>
          <w:rFonts w:asciiTheme="majorHAnsi" w:hAnsiTheme="majorHAnsi" w:cstheme="majorHAnsi"/>
          <w:i/>
          <w:iCs/>
          <w:color w:val="FF0000"/>
        </w:rPr>
        <w:t>:</w:t>
      </w:r>
    </w:p>
    <w:p w14:paraId="40527D13" w14:textId="77777777" w:rsidR="008A3A5E" w:rsidRDefault="008A3A5E" w:rsidP="00D62932">
      <w:pPr>
        <w:pStyle w:val="Nvel3-R"/>
        <w:numPr>
          <w:ilvl w:val="2"/>
          <w:numId w:val="9"/>
        </w:numPr>
        <w:spacing w:line="256" w:lineRule="auto"/>
        <w:ind w:left="425" w:firstLine="567"/>
      </w:pPr>
      <w:r>
        <w:t>[...]</w:t>
      </w:r>
    </w:p>
    <w:p w14:paraId="379524BC" w14:textId="77777777" w:rsidR="008A3A5E" w:rsidRDefault="008A3A5E" w:rsidP="00D62932">
      <w:pPr>
        <w:pStyle w:val="Nvel3-R"/>
        <w:numPr>
          <w:ilvl w:val="2"/>
          <w:numId w:val="9"/>
        </w:numPr>
        <w:spacing w:line="256" w:lineRule="auto"/>
        <w:ind w:left="425" w:firstLine="567"/>
      </w:pPr>
      <w:r>
        <w:t>[...]</w:t>
      </w:r>
    </w:p>
    <w:p w14:paraId="6FAF0A2C"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1:</w:t>
      </w:r>
      <w:r>
        <w:rPr>
          <w:rFonts w:asciiTheme="majorHAnsi" w:hAnsiTheme="majorHAnsi" w:cstheme="majorHAnsi"/>
        </w:rPr>
        <w:t xml:space="preserve"> Os preceitos do desenvolvimento sustentável devem ser observados na fase preparatória da licitação, em suas dimensões econômica, social, ambiental e cultural, no mínimo, com base nos planos de gestão de logística sustentável dos órgãos e das entidades públicas.</w:t>
      </w:r>
    </w:p>
    <w:p w14:paraId="29263DEF"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2:</w:t>
      </w:r>
      <w:r>
        <w:rPr>
          <w:rFonts w:asciiTheme="majorHAnsi" w:hAnsiTheme="majorHAnsi" w:cstheme="majorHAnsi"/>
        </w:rPr>
        <w:t xml:space="preserve">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15" w:history="1">
        <w:r>
          <w:rPr>
            <w:rStyle w:val="Hyperlink"/>
            <w:rFonts w:asciiTheme="majorHAnsi" w:hAnsiTheme="majorHAnsi" w:cstheme="majorHAnsi"/>
          </w:rPr>
          <w:t>Lei nº 12.305, de 2010</w:t>
        </w:r>
      </w:hyperlink>
      <w:r>
        <w:rPr>
          <w:rFonts w:asciiTheme="majorHAnsi" w:hAnsiTheme="majorHAnsi" w:cstheme="majorHAnsi"/>
        </w:rPr>
        <w:t xml:space="preserve"> - Política Nacional de Resíduos Sólidos..</w:t>
      </w:r>
    </w:p>
    <w:p w14:paraId="3B22CEB8"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3:</w:t>
      </w:r>
      <w:r>
        <w:rPr>
          <w:rFonts w:asciiTheme="majorHAnsi" w:hAnsiTheme="majorHAnsi" w:cstheme="majorHAnsi"/>
        </w:rPr>
        <w:t xml:space="preserve">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w:t>
      </w:r>
    </w:p>
    <w:p w14:paraId="41613AF7"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4:</w:t>
      </w:r>
      <w:r>
        <w:rPr>
          <w:rFonts w:asciiTheme="majorHAnsi" w:hAnsiTheme="majorHAnsi" w:cstheme="majorHAnsi"/>
        </w:rPr>
        <w:t xml:space="preserve"> Se houver justificativa nos autos para a não-adoção de critérios de sustentabilidade (e apenas nesse caso), deverá haver a supressão dos dispositivos específicos acima. </w:t>
      </w:r>
    </w:p>
    <w:p w14:paraId="4A1FF291" w14:textId="77777777" w:rsidR="008A3A5E" w:rsidRPr="009C0851" w:rsidRDefault="008A3A5E" w:rsidP="009C0851">
      <w:pPr>
        <w:pStyle w:val="Notaexplicativa"/>
      </w:pPr>
      <w:r>
        <w:rPr>
          <w:b/>
        </w:rPr>
        <w:t>Nota Explicativa 5:</w:t>
      </w:r>
      <w:r>
        <w:t xml:space="preserve"> Aos agentes da administração pública federal encarregados de realizar contratações públicas, recomenda-se que, no exercício de suas atribuições funcionais, consultem o </w:t>
      </w:r>
      <w:hyperlink r:id="rId16" w:history="1">
        <w:r>
          <w:rPr>
            <w:rStyle w:val="Hyperlink"/>
            <w:rFonts w:asciiTheme="majorHAnsi" w:hAnsiTheme="majorHAnsi" w:cstheme="majorHAnsi"/>
          </w:rPr>
          <w:t>Guia Nacional de Contratações Sustentáveis da Advocacia-Geral da União</w:t>
        </w:r>
      </w:hyperlink>
      <w:r>
        <w:t xml:space="preserve">, disponibilizado pela Consultoria-Geral da União e no site da AGU. </w:t>
      </w:r>
    </w:p>
    <w:p w14:paraId="46A9808A" w14:textId="77777777" w:rsidR="008A3A5E" w:rsidRDefault="008A3A5E" w:rsidP="008A3A5E">
      <w:pPr>
        <w:pStyle w:val="Notaexplicativa"/>
        <w:rPr>
          <w:rFonts w:asciiTheme="majorHAnsi" w:hAnsiTheme="majorHAnsi" w:cstheme="majorHAnsi"/>
        </w:rPr>
      </w:pPr>
      <w:r>
        <w:rPr>
          <w:rFonts w:asciiTheme="majorHAnsi" w:hAnsiTheme="majorHAnsi" w:cstheme="majorHAnsi"/>
          <w:b/>
        </w:rPr>
        <w:t>Nota Explicativa 6:</w:t>
      </w:r>
      <w:r>
        <w:rPr>
          <w:rFonts w:asciiTheme="majorHAnsi" w:hAnsiTheme="majorHAnsi" w:cstheme="majorHAnsi"/>
        </w:rPr>
        <w:t xml:space="preserve"> De acordo com o </w:t>
      </w:r>
      <w:hyperlink r:id="rId17" w:history="1">
        <w:r>
          <w:rPr>
            <w:rStyle w:val="Hyperlink"/>
            <w:rFonts w:asciiTheme="majorHAnsi" w:hAnsiTheme="majorHAnsi" w:cstheme="majorHAnsi"/>
          </w:rPr>
          <w:t>Guia Nacional de Contratações Sustentáveis da AGU</w:t>
        </w:r>
      </w:hyperlink>
      <w:r>
        <w:rPr>
          <w:rFonts w:asciiTheme="majorHAnsi" w:hAnsiTheme="majorHAnsi" w:cstheme="majorHAnsi"/>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6FB4FC21" w14:textId="77777777" w:rsidR="008A3A5E" w:rsidRDefault="008A3A5E" w:rsidP="008A3A5E">
      <w:pPr>
        <w:pStyle w:val="Notaexplicativa"/>
        <w:rPr>
          <w:rFonts w:asciiTheme="majorHAnsi" w:hAnsiTheme="majorHAnsi" w:cstheme="majorHAnsi"/>
        </w:rPr>
      </w:pPr>
      <w:r>
        <w:rPr>
          <w:rFonts w:asciiTheme="majorHAnsi" w:hAnsiTheme="majorHAnsi" w:cstheme="majorHAnsi"/>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58CF1D52" w14:textId="39D9707F" w:rsidR="006D5FA5" w:rsidRPr="00706EB4" w:rsidRDefault="006D5FA5" w:rsidP="006E4526">
      <w:pPr>
        <w:pStyle w:val="Nivel01"/>
      </w:pPr>
      <w:r w:rsidRPr="006E4526">
        <w:t>MODELO</w:t>
      </w:r>
      <w:r w:rsidRPr="00706EB4">
        <w:t xml:space="preserve"> DE EXECUÇÃO DO OBJETO</w:t>
      </w:r>
    </w:p>
    <w:p w14:paraId="65BD823D" w14:textId="323A50A7" w:rsidR="00F27EA2" w:rsidRPr="00706EB4" w:rsidRDefault="00F27EA2" w:rsidP="00F27EA2">
      <w:pPr>
        <w:pStyle w:val="Notaexplicativa"/>
      </w:pPr>
      <w:r w:rsidRPr="00706EB4">
        <w:rPr>
          <w:b/>
          <w:bCs/>
        </w:rPr>
        <w:t>Nota explicativa</w:t>
      </w:r>
      <w:r w:rsidRPr="00706EB4">
        <w:t>: Este item deve ser adaptado de acordo com as necessidades específicas do órgão ou entidade, apresentando-se, este modelo, de forma meramente exemplificativa.</w:t>
      </w:r>
    </w:p>
    <w:p w14:paraId="770BF0CD" w14:textId="646EABD0" w:rsidR="006D5FA5" w:rsidRPr="00706EB4" w:rsidRDefault="00522267" w:rsidP="008A7FB7">
      <w:pPr>
        <w:pStyle w:val="Nvel1-SemNum"/>
        <w:spacing w:afterLines="120" w:after="288" w:line="312"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Disponibilidade no imóvel</w:t>
      </w:r>
    </w:p>
    <w:p w14:paraId="2021D977" w14:textId="4267BDA0" w:rsidR="006D5FA5" w:rsidRDefault="00522267" w:rsidP="00522267">
      <w:pPr>
        <w:pStyle w:val="Nivel2"/>
      </w:pPr>
      <w:r>
        <w:t>Na data de assinatura do contrato, o imóvel deve estar desocupado e livre de qualquer ônus, gravames ou hipotecas que impeçam seu livre e pleno uso</w:t>
      </w:r>
      <w:r w:rsidR="006D5FA5" w:rsidRPr="00706EB4">
        <w:t xml:space="preserve">. </w:t>
      </w:r>
    </w:p>
    <w:p w14:paraId="20E2843C" w14:textId="30CE7C71" w:rsidR="006F6CE0" w:rsidRPr="00706EB4" w:rsidRDefault="006F6CE0" w:rsidP="006F6CE0">
      <w:pPr>
        <w:pStyle w:val="Nivel3"/>
      </w:pPr>
      <w:r>
        <w:t>Nesta mesma data as chaves deverão ser entregues, mediante termo.</w:t>
      </w:r>
    </w:p>
    <w:p w14:paraId="782D7780" w14:textId="77777777" w:rsidR="00AC0D22" w:rsidRDefault="00AC0D22" w:rsidP="00AC0D22">
      <w:pPr>
        <w:pStyle w:val="Nvel1-SemNum"/>
        <w:spacing w:afterLines="120" w:after="288" w:line="312" w:lineRule="auto"/>
        <w:rPr>
          <w:rFonts w:asciiTheme="majorHAnsi" w:hAnsiTheme="majorHAnsi" w:cstheme="majorHAnsi"/>
          <w:color w:val="000000" w:themeColor="text1"/>
        </w:rPr>
      </w:pPr>
      <w:r>
        <w:rPr>
          <w:rFonts w:asciiTheme="majorHAnsi" w:hAnsiTheme="majorHAnsi" w:cstheme="majorHAnsi"/>
          <w:color w:val="000000" w:themeColor="text1"/>
        </w:rPr>
        <w:t>Vistoria do imóvel</w:t>
      </w:r>
    </w:p>
    <w:p w14:paraId="034E6D9A" w14:textId="757F2CEC" w:rsidR="00AC0D22" w:rsidRDefault="00AC0D22" w:rsidP="00AC0D22">
      <w:pPr>
        <w:pStyle w:val="Nivel2"/>
      </w:pPr>
      <w:r w:rsidRPr="00AC0D22">
        <w:t>Por ocasião da entrega das chaves</w:t>
      </w:r>
      <w:r>
        <w:t>, será realizada vistoria do imóvel, para fins de verificação minuciosa do estado do imóvel, fazendo constar em termo de vistoria os eventuais defeitos existentes.</w:t>
      </w:r>
    </w:p>
    <w:p w14:paraId="78C55602" w14:textId="184F80CF" w:rsidR="006D5FA5" w:rsidRPr="00522267" w:rsidRDefault="00522267" w:rsidP="008A7FB7">
      <w:pPr>
        <w:pStyle w:val="Nvel1-SemNum"/>
        <w:spacing w:afterLines="120" w:after="288" w:line="312" w:lineRule="auto"/>
        <w:rPr>
          <w:rFonts w:asciiTheme="majorHAnsi" w:hAnsiTheme="majorHAnsi" w:cstheme="majorHAnsi"/>
          <w:color w:val="auto"/>
        </w:rPr>
      </w:pPr>
      <w:r>
        <w:rPr>
          <w:rFonts w:asciiTheme="majorHAnsi" w:hAnsiTheme="majorHAnsi" w:cstheme="majorHAnsi"/>
          <w:color w:val="auto"/>
        </w:rPr>
        <w:t>Benfeitorias e conservação</w:t>
      </w:r>
      <w:r w:rsidR="006D5FA5" w:rsidRPr="00522267">
        <w:rPr>
          <w:rFonts w:asciiTheme="majorHAnsi" w:hAnsiTheme="majorHAnsi" w:cstheme="majorHAnsi"/>
          <w:color w:val="auto"/>
        </w:rPr>
        <w:t xml:space="preserve"> </w:t>
      </w:r>
    </w:p>
    <w:p w14:paraId="3D8CB0F0" w14:textId="6EE4C0FD" w:rsidR="006D5FA5" w:rsidRDefault="00522267" w:rsidP="006F6CE0">
      <w:pPr>
        <w:pStyle w:val="Nivel2"/>
      </w:pPr>
      <w:r w:rsidRPr="00522267">
        <w:t xml:space="preserve">Respeitadas as disposições legais e regulamentares pertinentes, </w:t>
      </w:r>
      <w:r>
        <w:t>a Administração poderá realizar no imóvel alterações ou benfeitorias que julgar necessárias</w:t>
      </w:r>
      <w:r w:rsidRPr="00522267">
        <w:t>.</w:t>
      </w:r>
    </w:p>
    <w:p w14:paraId="58CC8E8A" w14:textId="2376DF92" w:rsidR="006F6CE0" w:rsidRDefault="006F6CE0" w:rsidP="006F6CE0">
      <w:pPr>
        <w:pStyle w:val="Nivel2"/>
      </w:pPr>
      <w:r>
        <w:t>A</w:t>
      </w:r>
      <w:r w:rsidRPr="006F6CE0">
        <w:t xml:space="preserve">s benfeitorias necessárias introduzidas pelo locatário, ainda que não autorizadas pelo locador, bem como as úteis, desde que autorizadas, serão indenizáveis e permitem o exercício do direito de retenção, de acordo com o </w:t>
      </w:r>
      <w:r>
        <w:t xml:space="preserve">art. 35 da Lei nº 8.245, de 18 de outubro de </w:t>
      </w:r>
      <w:r w:rsidRPr="006F6CE0">
        <w:t xml:space="preserve">1991, e o </w:t>
      </w:r>
      <w:r>
        <w:t>art.</w:t>
      </w:r>
      <w:r w:rsidRPr="006F6CE0">
        <w:t xml:space="preserve"> 578 do Código Civil.</w:t>
      </w:r>
    </w:p>
    <w:p w14:paraId="226BB69D" w14:textId="4B0964AA" w:rsidR="006F6CE0" w:rsidRPr="00706EB4" w:rsidRDefault="006F6CE0" w:rsidP="006F6CE0">
      <w:pPr>
        <w:pStyle w:val="Nivel2"/>
      </w:pPr>
      <w:r w:rsidRPr="006F6CE0">
        <w:t>Em qualquer caso, todas as benfeitorias desmontáveis, tais como lambris, biombos, cofre</w:t>
      </w:r>
      <w:r>
        <w:t>s construídos, tapetes, lustres etc.,</w:t>
      </w:r>
      <w:r w:rsidRPr="006F6CE0">
        <w:t xml:space="preserve"> poderão ser retiradas pelo locatário, devendo o imóvel locado, entretanto, ser devolvido com os seus respectivos acessórios</w:t>
      </w:r>
    </w:p>
    <w:p w14:paraId="29C1E85C" w14:textId="77777777" w:rsidR="006D5FA5" w:rsidRPr="00706EB4" w:rsidRDefault="006D5FA5" w:rsidP="006E4526">
      <w:pPr>
        <w:pStyle w:val="Nivel01"/>
      </w:pPr>
      <w:r w:rsidRPr="00706EB4">
        <w:t xml:space="preserve">MODELO DE </w:t>
      </w:r>
      <w:r w:rsidRPr="006E4526">
        <w:t>GESTÃO</w:t>
      </w:r>
      <w:r w:rsidRPr="00706EB4">
        <w:t xml:space="preserve"> DO CONTRATO</w:t>
      </w:r>
    </w:p>
    <w:p w14:paraId="31F4E2BE" w14:textId="77777777" w:rsidR="0002499E" w:rsidRPr="00706EB4" w:rsidRDefault="0002499E" w:rsidP="0002499E">
      <w:pPr>
        <w:pStyle w:val="Nivel2"/>
      </w:pPr>
      <w:r w:rsidRPr="00706EB4">
        <w:t xml:space="preserve">O contrato deverá ser </w:t>
      </w:r>
      <w:r w:rsidRPr="006E4526">
        <w:t>executado</w:t>
      </w:r>
      <w:r w:rsidRPr="00706EB4">
        <w:t xml:space="preserve"> fielmente pelas partes, de acordo com as cláusulas avençadas e as normas da </w:t>
      </w:r>
      <w:hyperlink r:id="rId18" w:history="1">
        <w:r w:rsidRPr="00706EB4">
          <w:rPr>
            <w:rStyle w:val="Hyperlink"/>
            <w:rFonts w:asciiTheme="majorHAnsi" w:eastAsia="Arial" w:hAnsiTheme="majorHAnsi" w:cstheme="majorHAnsi"/>
          </w:rPr>
          <w:t>Lei nº 14.133, de 2021</w:t>
        </w:r>
      </w:hyperlink>
      <w:r w:rsidRPr="00706EB4">
        <w:t>, e cada parte responderá pelas consequências de sua inexecução total ou parcial.</w:t>
      </w:r>
    </w:p>
    <w:p w14:paraId="1AAB673F" w14:textId="77777777" w:rsidR="0002499E" w:rsidRPr="006E4526" w:rsidRDefault="0002499E" w:rsidP="0002499E">
      <w:pPr>
        <w:pStyle w:val="Nivel2"/>
      </w:pPr>
      <w:r w:rsidRPr="00706EB4">
        <w:t xml:space="preserve">Em caso de </w:t>
      </w:r>
      <w:r w:rsidRPr="006E4526">
        <w:t>impedimento, ordem de paralisação ou suspensão do contrato, o cronograma de execução será prorrogado automaticamente pelo tempo correspondente, anotadas tais circunstâncias mediante simples apostila.</w:t>
      </w:r>
    </w:p>
    <w:p w14:paraId="3CA495A8" w14:textId="77777777" w:rsidR="0002499E" w:rsidRPr="006E4526" w:rsidRDefault="0002499E" w:rsidP="0002499E">
      <w:pPr>
        <w:pStyle w:val="Nivel2"/>
      </w:pPr>
      <w:r w:rsidRPr="006E4526">
        <w:t>As comunicações entre o órgão ou entidade e a contratada devem ser realizadas por escrito sempre que o ato exigir tal formalidade, admitindo-se o uso de mensagem eletrônica para esse fim.</w:t>
      </w:r>
    </w:p>
    <w:p w14:paraId="110E2999" w14:textId="614E86BC" w:rsidR="0002499E" w:rsidRPr="00706EB4" w:rsidRDefault="0002499E" w:rsidP="0002499E">
      <w:pPr>
        <w:pStyle w:val="Nivel2"/>
      </w:pPr>
      <w:r w:rsidRPr="006E4526">
        <w:t>O órgão ou enti</w:t>
      </w:r>
      <w:r w:rsidRPr="00706EB4">
        <w:t xml:space="preserve">dade poderá convocar </w:t>
      </w:r>
      <w:r>
        <w:t xml:space="preserve">o contratado e/ou seu </w:t>
      </w:r>
      <w:r w:rsidRPr="00706EB4">
        <w:t>representante para adoção de providências que devam ser cumpridas de imediato.</w:t>
      </w:r>
    </w:p>
    <w:p w14:paraId="30160173" w14:textId="77777777" w:rsidR="0002499E" w:rsidRPr="009D3D8B" w:rsidRDefault="0002499E" w:rsidP="0002499E">
      <w:pPr>
        <w:pStyle w:val="Nvel1-SemNum"/>
        <w:spacing w:afterLines="120" w:after="288" w:line="312" w:lineRule="auto"/>
        <w:rPr>
          <w:rFonts w:asciiTheme="majorHAnsi" w:hAnsiTheme="majorHAnsi" w:cstheme="majorHAnsi"/>
          <w:color w:val="auto"/>
        </w:rPr>
      </w:pPr>
      <w:r>
        <w:rPr>
          <w:rFonts w:asciiTheme="majorHAnsi" w:hAnsiTheme="majorHAnsi" w:cstheme="majorHAnsi"/>
          <w:color w:val="auto"/>
        </w:rPr>
        <w:t>Rotinas de fiscalização</w:t>
      </w:r>
    </w:p>
    <w:p w14:paraId="57426F9E" w14:textId="77777777" w:rsidR="0002499E" w:rsidRPr="00706EB4" w:rsidRDefault="0002499E" w:rsidP="0002499E">
      <w:pPr>
        <w:pStyle w:val="Nivel2"/>
      </w:pPr>
      <w:r w:rsidRPr="00706EB4">
        <w:t xml:space="preserve">A execução do contrato </w:t>
      </w:r>
      <w:r w:rsidRPr="006E4526">
        <w:t>deverá</w:t>
      </w:r>
      <w:r w:rsidRPr="00706EB4">
        <w:t xml:space="preserve"> ser acompanhada e fiscalizada pelo(s) fiscal(is) do contrato, ou pelos respectivos substitutos (</w:t>
      </w:r>
      <w:hyperlink r:id="rId19" w:anchor="art117" w:history="1">
        <w:r w:rsidRPr="00706EB4">
          <w:rPr>
            <w:rStyle w:val="Hyperlink"/>
            <w:rFonts w:asciiTheme="majorHAnsi" w:hAnsiTheme="majorHAnsi" w:cstheme="majorHAnsi"/>
          </w:rPr>
          <w:t>art. 117 da Lei nº 14.133, de 2021</w:t>
        </w:r>
      </w:hyperlink>
      <w:r w:rsidRPr="00706EB4">
        <w:t>).</w:t>
      </w:r>
    </w:p>
    <w:p w14:paraId="2AC0EE3F" w14:textId="77777777" w:rsidR="0002499E" w:rsidRPr="00706EB4" w:rsidRDefault="0002499E" w:rsidP="0002499E">
      <w:pPr>
        <w:pStyle w:val="Notaexplicativa"/>
        <w:rPr>
          <w:rFonts w:asciiTheme="majorHAnsi" w:hAnsiTheme="majorHAnsi" w:cstheme="majorHAnsi"/>
        </w:rPr>
      </w:pPr>
      <w:r w:rsidRPr="00706EB4">
        <w:rPr>
          <w:b/>
          <w:bCs/>
        </w:rPr>
        <w:t xml:space="preserve">Nota Explicativa: </w:t>
      </w:r>
      <w:r w:rsidRPr="00706EB4">
        <w:t xml:space="preserve">Os gestores e fiscais do contrato serão designados pela autoridade máxima do órgão ou da entidade, ou a quem as normas de organização administrativa indicarem, na forma do </w:t>
      </w:r>
      <w:hyperlink r:id="rId20" w:history="1">
        <w:r w:rsidRPr="00706EB4">
          <w:rPr>
            <w:rStyle w:val="Hyperlink"/>
          </w:rPr>
          <w:t>art. 7º da Lei nº 14.133, de 2021</w:t>
        </w:r>
      </w:hyperlink>
      <w:r w:rsidRPr="00706EB4">
        <w:t>, devendo a Administração instruir os autos com as publicações dos atos de designação dos agentes públicos para o exercício dessas funções.</w:t>
      </w:r>
    </w:p>
    <w:p w14:paraId="4680A54D" w14:textId="77777777" w:rsidR="0002499E" w:rsidRPr="00152867" w:rsidRDefault="0002499E" w:rsidP="0002499E">
      <w:pPr>
        <w:pStyle w:val="Nvel1-SemNum"/>
        <w:spacing w:afterLines="120" w:after="288" w:line="312" w:lineRule="auto"/>
        <w:rPr>
          <w:rFonts w:asciiTheme="majorHAnsi" w:hAnsiTheme="majorHAnsi" w:cstheme="majorHAnsi"/>
          <w:color w:val="auto"/>
        </w:rPr>
      </w:pPr>
      <w:bookmarkStart w:id="4" w:name="_Hlk137730598"/>
      <w:r w:rsidRPr="00152867">
        <w:rPr>
          <w:rFonts w:asciiTheme="majorHAnsi" w:hAnsiTheme="majorHAnsi" w:cstheme="majorHAnsi"/>
          <w:color w:val="auto"/>
        </w:rPr>
        <w:lastRenderedPageBreak/>
        <w:t>Fiscal do contrato</w:t>
      </w:r>
    </w:p>
    <w:p w14:paraId="50526093" w14:textId="5627A04E" w:rsidR="0002499E" w:rsidRPr="00706EB4" w:rsidRDefault="0002499E" w:rsidP="0002499E">
      <w:pPr>
        <w:pStyle w:val="Nivel2"/>
      </w:pPr>
      <w:r w:rsidRPr="00706EB4">
        <w:t xml:space="preserve">O fiscal do </w:t>
      </w:r>
      <w:r w:rsidRPr="006E4526">
        <w:t>contrato</w:t>
      </w:r>
      <w:r w:rsidRPr="00706EB4">
        <w:t xml:space="preserve"> acompanhará a execução do contrato, para que sejam cumpridas todas as condições estabelecidas no contrato, de modo a assegurar os melhores resultados para a Administração</w:t>
      </w:r>
      <w:r>
        <w:t xml:space="preserve"> (art. 2</w:t>
      </w:r>
      <w:r w:rsidR="00B661EA">
        <w:t>0</w:t>
      </w:r>
      <w:r>
        <w:t xml:space="preserve">, VI do </w:t>
      </w:r>
      <w:r w:rsidR="00B661EA">
        <w:t>Decreto Municipal nº 1.047, de 08 de dezembro de 2023</w:t>
      </w:r>
      <w:r>
        <w:t>)</w:t>
      </w:r>
      <w:r w:rsidRPr="00706EB4">
        <w:t>.</w:t>
      </w:r>
    </w:p>
    <w:p w14:paraId="034FCCEF" w14:textId="78D8C822" w:rsidR="0002499E" w:rsidRPr="00706EB4" w:rsidRDefault="0002499E" w:rsidP="0002499E">
      <w:pPr>
        <w:pStyle w:val="Nivel2"/>
        <w:rPr>
          <w:rStyle w:val="Hyperlink"/>
          <w:rFonts w:asciiTheme="majorHAnsi" w:hAnsiTheme="majorHAnsi" w:cstheme="majorHAnsi"/>
          <w:color w:val="000000"/>
          <w:u w:val="none"/>
        </w:rPr>
      </w:pPr>
      <w:bookmarkStart w:id="5" w:name="_Hlk137730628"/>
      <w:bookmarkEnd w:id="4"/>
      <w:r w:rsidRPr="00706EB4">
        <w:t>O fiscal do contrato anotará no histórico de gerenciamento do contrato todas as ocorrências relacionadas à execução do contrato, com a descrição do que for necessário para a regularização das fa</w:t>
      </w:r>
      <w:r>
        <w:t>ltas ou dos defeitos observados</w:t>
      </w:r>
      <w:r w:rsidRPr="00706EB4">
        <w:t xml:space="preserve"> (</w:t>
      </w:r>
      <w:hyperlink r:id="rId21" w:anchor="art117§1" w:history="1">
        <w:r>
          <w:rPr>
            <w:rStyle w:val="Hyperlink"/>
            <w:rFonts w:asciiTheme="majorHAnsi" w:hAnsiTheme="majorHAnsi" w:cstheme="majorHAnsi"/>
          </w:rPr>
          <w:t>art. 117, §1º da L</w:t>
        </w:r>
        <w:r w:rsidRPr="00706EB4">
          <w:rPr>
            <w:rStyle w:val="Hyperlink"/>
            <w:rFonts w:asciiTheme="majorHAnsi" w:hAnsiTheme="majorHAnsi" w:cstheme="majorHAnsi"/>
          </w:rPr>
          <w:t>ei nº 14.133, de 2021</w:t>
        </w:r>
      </w:hyperlink>
      <w:r>
        <w:t xml:space="preserve"> e art. 2</w:t>
      </w:r>
      <w:r w:rsidR="00B661EA">
        <w:t>0</w:t>
      </w:r>
      <w:r>
        <w:t xml:space="preserve">, II do </w:t>
      </w:r>
      <w:r w:rsidR="00B661EA">
        <w:t>Decreto Municipal nº 1.047, de 08 de dezembro de 2023</w:t>
      </w:r>
      <w:r>
        <w:t>).</w:t>
      </w:r>
      <w:r w:rsidRPr="00706EB4">
        <w:rPr>
          <w:rStyle w:val="Hyperlink"/>
          <w:rFonts w:asciiTheme="majorHAnsi" w:hAnsiTheme="majorHAnsi" w:cstheme="majorHAnsi"/>
          <w:color w:val="000000"/>
          <w:u w:val="none"/>
        </w:rPr>
        <w:t xml:space="preserve"> </w:t>
      </w:r>
    </w:p>
    <w:p w14:paraId="2775A506" w14:textId="12C69381" w:rsidR="0002499E" w:rsidRPr="00706EB4" w:rsidRDefault="0002499E" w:rsidP="0002499E">
      <w:pPr>
        <w:pStyle w:val="Nivel2"/>
      </w:pPr>
      <w:bookmarkStart w:id="6" w:name="_Hlk137730636"/>
      <w:bookmarkEnd w:id="5"/>
      <w:r w:rsidRPr="00706EB4">
        <w:t xml:space="preserve">Identificada qualquer </w:t>
      </w:r>
      <w:r w:rsidRPr="006E4526">
        <w:t>inexatidão</w:t>
      </w:r>
      <w:r w:rsidRPr="00706EB4">
        <w:t xml:space="preserve"> ou irregularidade, o fiscal do contrato emitirá notificações para a correção da execução do contrato, determinando prazo para a correção</w:t>
      </w:r>
      <w:r>
        <w:t xml:space="preserve"> (art. 2</w:t>
      </w:r>
      <w:r w:rsidR="00B661EA">
        <w:t>0</w:t>
      </w:r>
      <w:r>
        <w:t xml:space="preserve">, III do </w:t>
      </w:r>
      <w:r w:rsidR="00B661EA">
        <w:t>Decreto Municipal nº 1.047, de 08 de dezembro de 2023</w:t>
      </w:r>
      <w:r w:rsidRPr="00706EB4">
        <w:t xml:space="preserve">. </w:t>
      </w:r>
    </w:p>
    <w:p w14:paraId="6748937F" w14:textId="6204DA86" w:rsidR="0002499E" w:rsidRPr="00706EB4" w:rsidRDefault="0002499E" w:rsidP="0002499E">
      <w:pPr>
        <w:pStyle w:val="Nivel2"/>
      </w:pPr>
      <w:bookmarkStart w:id="7" w:name="_Hlk137730643"/>
      <w:bookmarkEnd w:id="6"/>
      <w:r w:rsidRPr="00706EB4">
        <w:t>O fiscal do contrato informará ao gestor do contato, em tempo hábil, a situação que demandar decisão ou adoção de medidas que ultrapassem sua competência, para que adote as medidas necessárias e saneadoras, se for o caso</w:t>
      </w:r>
      <w:r>
        <w:t xml:space="preserve"> (art. 2</w:t>
      </w:r>
      <w:r w:rsidR="00B661EA">
        <w:t>0</w:t>
      </w:r>
      <w:r>
        <w:t xml:space="preserve">, IV do </w:t>
      </w:r>
      <w:r w:rsidR="00B661EA">
        <w:t>Decreto Municipal nº 1.047, de 08 de dezembro de 2023</w:t>
      </w:r>
      <w:r>
        <w:t>).</w:t>
      </w:r>
    </w:p>
    <w:p w14:paraId="664F6872" w14:textId="73F883B5" w:rsidR="0002499E" w:rsidRPr="00706EB4" w:rsidRDefault="0002499E" w:rsidP="0002499E">
      <w:pPr>
        <w:pStyle w:val="Nivel2"/>
      </w:pPr>
      <w:bookmarkStart w:id="8" w:name="_Hlk137730658"/>
      <w:bookmarkEnd w:id="7"/>
      <w:r w:rsidRPr="00706EB4">
        <w:t xml:space="preserve">No caso de ocorrências que possam inviabilizar a execução do contrato nas datas aprazadas, o fiscal do contrato comunicará o fato </w:t>
      </w:r>
      <w:r w:rsidRPr="006E4526">
        <w:t>imediatamente</w:t>
      </w:r>
      <w:r w:rsidRPr="00706EB4">
        <w:t xml:space="preserve"> ao gestor do contrato</w:t>
      </w:r>
      <w:r>
        <w:t xml:space="preserve"> (art. 2</w:t>
      </w:r>
      <w:r w:rsidR="00B661EA">
        <w:t>0</w:t>
      </w:r>
      <w:r>
        <w:t xml:space="preserve">, V do </w:t>
      </w:r>
      <w:r w:rsidR="00B661EA">
        <w:t>Decreto Municipal nº 1.047, de 08 de dezembro de 2023</w:t>
      </w:r>
      <w:r>
        <w:t>)</w:t>
      </w:r>
      <w:r w:rsidRPr="00706EB4">
        <w:t>.</w:t>
      </w:r>
    </w:p>
    <w:p w14:paraId="0F66BA2E" w14:textId="3BB46CFE" w:rsidR="0002499E" w:rsidRDefault="0002499E" w:rsidP="0002499E">
      <w:pPr>
        <w:pStyle w:val="Nivel2"/>
      </w:pPr>
      <w:r w:rsidRPr="00706EB4">
        <w:t>O fiscal do contrato comunicar ao gestor do contrato, em tempo hábil, o término do contrato sob sua responsabilidade, com vistas à renovação tempestiva ou à prorrogação contratual</w:t>
      </w:r>
      <w:r>
        <w:t xml:space="preserve"> (art. 2</w:t>
      </w:r>
      <w:r w:rsidR="00B661EA">
        <w:t>0</w:t>
      </w:r>
      <w:r>
        <w:t xml:space="preserve">, VII do </w:t>
      </w:r>
      <w:r w:rsidR="00B661EA">
        <w:t>Decreto Municipal nº 1.047, de 08 de dezembro de 2023</w:t>
      </w:r>
      <w:r>
        <w:t>)</w:t>
      </w:r>
      <w:r w:rsidRPr="00706EB4">
        <w:t>.</w:t>
      </w:r>
    </w:p>
    <w:bookmarkEnd w:id="8"/>
    <w:p w14:paraId="7301253D" w14:textId="77777777" w:rsidR="0002499E" w:rsidRPr="00706EB4" w:rsidRDefault="0002499E" w:rsidP="0002499E">
      <w:pPr>
        <w:pStyle w:val="Nvel2-Red"/>
      </w:pPr>
      <w:r w:rsidRPr="00706EB4">
        <w:t xml:space="preserve">Além do </w:t>
      </w:r>
      <w:r w:rsidRPr="006E4526">
        <w:t>disposto</w:t>
      </w:r>
      <w:r w:rsidRPr="00706EB4">
        <w:t xml:space="preserve"> acima, a fiscalização contratual obedecerá às seguintes rotinas:</w:t>
      </w:r>
    </w:p>
    <w:p w14:paraId="0DFE8DA6" w14:textId="77777777" w:rsidR="0002499E" w:rsidRPr="006E4526" w:rsidRDefault="0002499E" w:rsidP="0002499E">
      <w:pPr>
        <w:pStyle w:val="Nvel3-R"/>
      </w:pPr>
      <w:r w:rsidRPr="006E4526">
        <w:t>(...)</w:t>
      </w:r>
    </w:p>
    <w:p w14:paraId="798CCFC6" w14:textId="77777777" w:rsidR="0002499E" w:rsidRPr="006E4526" w:rsidRDefault="0002499E" w:rsidP="0002499E">
      <w:pPr>
        <w:pStyle w:val="Nvel3-R"/>
      </w:pPr>
      <w:r w:rsidRPr="006E4526">
        <w:t>(...)</w:t>
      </w:r>
    </w:p>
    <w:p w14:paraId="2A0BE128" w14:textId="77777777" w:rsidR="0002499E" w:rsidRPr="006E4526" w:rsidRDefault="0002499E" w:rsidP="0002499E">
      <w:pPr>
        <w:pStyle w:val="Nvel3-R"/>
      </w:pPr>
      <w:r w:rsidRPr="006E4526">
        <w:t>(...)</w:t>
      </w:r>
    </w:p>
    <w:p w14:paraId="24C989AF" w14:textId="77777777" w:rsidR="0002499E" w:rsidRDefault="0002499E" w:rsidP="0002499E">
      <w:pPr>
        <w:pStyle w:val="Nvel3-R"/>
      </w:pPr>
      <w:r w:rsidRPr="006E4526">
        <w:t>(...)</w:t>
      </w:r>
    </w:p>
    <w:p w14:paraId="62B3C35B" w14:textId="77777777" w:rsidR="0002499E" w:rsidRPr="00D02297" w:rsidRDefault="0002499E" w:rsidP="0002499E">
      <w:pPr>
        <w:pStyle w:val="Notaexplicativa"/>
        <w:rPr>
          <w:rFonts w:asciiTheme="majorHAnsi" w:hAnsiTheme="majorHAnsi" w:cstheme="majorHAnsi"/>
        </w:rPr>
      </w:pPr>
      <w:r w:rsidRPr="00706EB4">
        <w:rPr>
          <w:b/>
          <w:bCs/>
        </w:rPr>
        <w:t>Nota Explicativa:</w:t>
      </w:r>
      <w:r w:rsidRPr="00706EB4">
        <w:t xml:space="preserve"> Inserir o subitem </w:t>
      </w:r>
      <w:r>
        <w:fldChar w:fldCharType="begin"/>
      </w:r>
      <w:r>
        <w:instrText xml:space="preserve"> REF _Ref127328950 \r \h </w:instrText>
      </w:r>
      <w:r>
        <w:fldChar w:fldCharType="separate"/>
      </w:r>
      <w:r>
        <w:t>6.13</w:t>
      </w:r>
      <w:r>
        <w:fldChar w:fldCharType="end"/>
      </w:r>
      <w:r w:rsidRPr="00706EB4">
        <w:t xml:space="preserve"> se for o caso para inclusão de rotinas de fiscalização específicas para atender às peculiaridades do objeto contratado.</w:t>
      </w:r>
    </w:p>
    <w:p w14:paraId="255A7086" w14:textId="77777777" w:rsidR="0002499E" w:rsidRPr="00D02297" w:rsidRDefault="0002499E" w:rsidP="0002499E">
      <w:pPr>
        <w:pStyle w:val="Nvel1-SemNum"/>
        <w:spacing w:afterLines="120" w:after="288" w:line="312" w:lineRule="auto"/>
        <w:rPr>
          <w:rFonts w:asciiTheme="majorHAnsi" w:hAnsiTheme="majorHAnsi" w:cstheme="majorHAnsi"/>
          <w:color w:val="auto"/>
        </w:rPr>
      </w:pPr>
      <w:bookmarkStart w:id="9" w:name="_Hlk137730682"/>
      <w:r>
        <w:rPr>
          <w:rFonts w:asciiTheme="majorHAnsi" w:hAnsiTheme="majorHAnsi" w:cstheme="majorHAnsi"/>
          <w:color w:val="auto"/>
        </w:rPr>
        <w:t>Gestor do contrato</w:t>
      </w:r>
    </w:p>
    <w:p w14:paraId="199B7ED4" w14:textId="065E7765" w:rsidR="0002499E" w:rsidRPr="00706EB4" w:rsidRDefault="0002499E" w:rsidP="0002499E">
      <w:pPr>
        <w:pStyle w:val="Nivel2"/>
      </w:pPr>
      <w:r w:rsidRPr="00706EB4">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t xml:space="preserve"> (</w:t>
      </w:r>
      <w:r>
        <w:rPr>
          <w:rFonts w:asciiTheme="majorHAnsi" w:hAnsiTheme="majorHAnsi" w:cstheme="majorHAnsi"/>
          <w:color w:val="auto"/>
        </w:rPr>
        <w:t xml:space="preserve">art. </w:t>
      </w:r>
      <w:r w:rsidR="00B661EA">
        <w:rPr>
          <w:rFonts w:asciiTheme="majorHAnsi" w:hAnsiTheme="majorHAnsi" w:cstheme="majorHAnsi"/>
          <w:color w:val="auto"/>
        </w:rPr>
        <w:t>19</w:t>
      </w:r>
      <w:r>
        <w:rPr>
          <w:rFonts w:asciiTheme="majorHAnsi" w:hAnsiTheme="majorHAnsi" w:cstheme="majorHAnsi"/>
          <w:color w:val="auto"/>
        </w:rPr>
        <w:t xml:space="preserve">, IV do </w:t>
      </w:r>
      <w:r w:rsidR="00B661EA">
        <w:t>Decreto Municipal nº 1.047, de 08 de dezembro de 2023</w:t>
      </w:r>
      <w:r>
        <w:rPr>
          <w:rFonts w:asciiTheme="majorHAnsi" w:hAnsiTheme="majorHAnsi" w:cstheme="majorHAnsi"/>
          <w:color w:val="auto"/>
        </w:rPr>
        <w:t>)</w:t>
      </w:r>
      <w:r w:rsidRPr="00706EB4">
        <w:t>.</w:t>
      </w:r>
    </w:p>
    <w:p w14:paraId="7D5D3CB1" w14:textId="2FAD53BB" w:rsidR="0002499E" w:rsidRPr="00706EB4" w:rsidRDefault="0002499E" w:rsidP="0002499E">
      <w:pPr>
        <w:pStyle w:val="Nivel2"/>
      </w:pPr>
      <w:r w:rsidRPr="00706EB4">
        <w:t>O gestor do contrato acompanhará a manutenção das condições de habilitação da contratada, para fins de empenho de despesa e pagamento, e anotará os problemas que obstem o fluxo normal da liquidação e do pagamento da despesa no relatório de riscos eventuais</w:t>
      </w:r>
      <w:r>
        <w:t xml:space="preserve"> (</w:t>
      </w:r>
      <w:r>
        <w:rPr>
          <w:rFonts w:asciiTheme="majorHAnsi" w:hAnsiTheme="majorHAnsi" w:cstheme="majorHAnsi"/>
          <w:color w:val="auto"/>
        </w:rPr>
        <w:t xml:space="preserve">art. </w:t>
      </w:r>
      <w:r w:rsidR="00B661EA">
        <w:rPr>
          <w:rFonts w:asciiTheme="majorHAnsi" w:hAnsiTheme="majorHAnsi" w:cstheme="majorHAnsi"/>
          <w:color w:val="auto"/>
        </w:rPr>
        <w:t>19</w:t>
      </w:r>
      <w:r>
        <w:rPr>
          <w:rFonts w:asciiTheme="majorHAnsi" w:hAnsiTheme="majorHAnsi" w:cstheme="majorHAnsi"/>
          <w:color w:val="auto"/>
        </w:rPr>
        <w:t xml:space="preserve">, II do </w:t>
      </w:r>
      <w:r w:rsidR="00B661EA">
        <w:t>Decreto Municipal nº 1.047, de 08 de dezembro de 2023</w:t>
      </w:r>
      <w:r>
        <w:rPr>
          <w:rFonts w:asciiTheme="majorHAnsi" w:hAnsiTheme="majorHAnsi" w:cstheme="majorHAnsi"/>
          <w:color w:val="auto"/>
        </w:rPr>
        <w:t>)</w:t>
      </w:r>
      <w:r w:rsidRPr="00706EB4">
        <w:t>.</w:t>
      </w:r>
    </w:p>
    <w:p w14:paraId="7CEE3C8C" w14:textId="174FA2B4" w:rsidR="0002499E" w:rsidRPr="00706EB4" w:rsidRDefault="0002499E" w:rsidP="0002499E">
      <w:pPr>
        <w:pStyle w:val="Nivel2"/>
      </w:pPr>
      <w:r w:rsidRPr="00706EB4">
        <w:t xml:space="preserve">O gestor do contrato acompanhará os registros realizados pelos fiscais do contrato, de todas as ocorrências relacionadas à </w:t>
      </w:r>
      <w:r w:rsidRPr="006E4526">
        <w:t>execução</w:t>
      </w:r>
      <w:r w:rsidRPr="00706EB4">
        <w:t xml:space="preserve"> do contrato e as medidas adotadas, informando, se for o caso, à autoridade </w:t>
      </w:r>
      <w:r w:rsidRPr="00706EB4">
        <w:lastRenderedPageBreak/>
        <w:t>superior àquelas que ultrapassarem a sua competência</w:t>
      </w:r>
      <w:r>
        <w:t xml:space="preserve"> (</w:t>
      </w:r>
      <w:r>
        <w:rPr>
          <w:rFonts w:asciiTheme="majorHAnsi" w:hAnsiTheme="majorHAnsi" w:cstheme="majorHAnsi"/>
          <w:color w:val="auto"/>
        </w:rPr>
        <w:t xml:space="preserve">art. </w:t>
      </w:r>
      <w:r w:rsidR="00B661EA">
        <w:rPr>
          <w:rFonts w:asciiTheme="majorHAnsi" w:hAnsiTheme="majorHAnsi" w:cstheme="majorHAnsi"/>
          <w:color w:val="auto"/>
        </w:rPr>
        <w:t>19</w:t>
      </w:r>
      <w:r>
        <w:rPr>
          <w:rFonts w:asciiTheme="majorHAnsi" w:hAnsiTheme="majorHAnsi" w:cstheme="majorHAnsi"/>
          <w:color w:val="auto"/>
        </w:rPr>
        <w:t xml:space="preserve">, III do </w:t>
      </w:r>
      <w:r w:rsidR="00B661EA">
        <w:t>Decreto Municipal nº 1.047, de 08 de dezembro de 2023</w:t>
      </w:r>
      <w:r>
        <w:rPr>
          <w:rFonts w:asciiTheme="majorHAnsi" w:hAnsiTheme="majorHAnsi" w:cstheme="majorHAnsi"/>
          <w:color w:val="auto"/>
        </w:rPr>
        <w:t>)</w:t>
      </w:r>
      <w:r w:rsidRPr="00706EB4">
        <w:t>.</w:t>
      </w:r>
    </w:p>
    <w:p w14:paraId="5A95B693" w14:textId="41FEB627" w:rsidR="0002499E" w:rsidRPr="00706EB4" w:rsidRDefault="0002499E" w:rsidP="0002499E">
      <w:pPr>
        <w:pStyle w:val="Nivel2"/>
      </w:pPr>
      <w:r w:rsidRPr="00706EB4">
        <w:t xml:space="preserve">O gestor do </w:t>
      </w:r>
      <w:r w:rsidRPr="006E4526">
        <w:t>contrato</w:t>
      </w:r>
      <w:r w:rsidRPr="00706EB4">
        <w:t xml:space="preserve"> emitirá documento comprobatório da avaliação realizada pelo fisca</w:t>
      </w:r>
      <w:r>
        <w:t xml:space="preserve">l do contrato </w:t>
      </w:r>
      <w:r w:rsidRPr="00706EB4">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t xml:space="preserve"> (</w:t>
      </w:r>
      <w:r>
        <w:rPr>
          <w:rFonts w:asciiTheme="majorHAnsi" w:hAnsiTheme="majorHAnsi" w:cstheme="majorHAnsi"/>
          <w:color w:val="auto"/>
        </w:rPr>
        <w:t xml:space="preserve">art. </w:t>
      </w:r>
      <w:r w:rsidR="00B661EA">
        <w:rPr>
          <w:rFonts w:asciiTheme="majorHAnsi" w:hAnsiTheme="majorHAnsi" w:cstheme="majorHAnsi"/>
          <w:color w:val="auto"/>
        </w:rPr>
        <w:t>19</w:t>
      </w:r>
      <w:r>
        <w:rPr>
          <w:rFonts w:asciiTheme="majorHAnsi" w:hAnsiTheme="majorHAnsi" w:cstheme="majorHAnsi"/>
          <w:color w:val="auto"/>
        </w:rPr>
        <w:t xml:space="preserve">, VIII do </w:t>
      </w:r>
      <w:r w:rsidR="00B661EA">
        <w:t>Decreto Municipal nº 1.047, de 08 de dezembro de 2023</w:t>
      </w:r>
      <w:r>
        <w:rPr>
          <w:rFonts w:asciiTheme="majorHAnsi" w:hAnsiTheme="majorHAnsi" w:cstheme="majorHAnsi"/>
          <w:color w:val="auto"/>
        </w:rPr>
        <w:t>)</w:t>
      </w:r>
      <w:r w:rsidRPr="00706EB4">
        <w:t>.</w:t>
      </w:r>
    </w:p>
    <w:p w14:paraId="3C8A1F03" w14:textId="522B64E0" w:rsidR="0002499E" w:rsidRPr="00706EB4" w:rsidRDefault="0002499E" w:rsidP="0002499E">
      <w:pPr>
        <w:pStyle w:val="Nivel2"/>
      </w:pPr>
      <w:r w:rsidRPr="00706EB4">
        <w:t xml:space="preserve">O gestor do contrato tomará </w:t>
      </w:r>
      <w:r w:rsidRPr="006E4526">
        <w:t>providências</w:t>
      </w:r>
      <w:r w:rsidRPr="00706EB4">
        <w:t xml:space="preserve"> para a formalização de processo administrativo de responsabilização para fins de aplicação de sanções, a ser conduzido pela comissão de que trata o </w:t>
      </w:r>
      <w:hyperlink r:id="rId22" w:anchor="art158" w:history="1">
        <w:r w:rsidRPr="00D42B30">
          <w:rPr>
            <w:rStyle w:val="Hyperlink"/>
          </w:rPr>
          <w:t>art. 158 da Lei nº 14.133, de 2021</w:t>
        </w:r>
      </w:hyperlink>
      <w:r w:rsidRPr="00706EB4">
        <w:t>, ou pelo agente ou pelo setor com competência para tal, conforme o caso</w:t>
      </w:r>
      <w:r>
        <w:t xml:space="preserve"> (</w:t>
      </w:r>
      <w:r>
        <w:rPr>
          <w:rFonts w:asciiTheme="majorHAnsi" w:hAnsiTheme="majorHAnsi" w:cstheme="majorHAnsi"/>
          <w:color w:val="auto"/>
        </w:rPr>
        <w:t xml:space="preserve">art. </w:t>
      </w:r>
      <w:r w:rsidR="00B661EA">
        <w:rPr>
          <w:rFonts w:asciiTheme="majorHAnsi" w:hAnsiTheme="majorHAnsi" w:cstheme="majorHAnsi"/>
          <w:color w:val="auto"/>
        </w:rPr>
        <w:t>19</w:t>
      </w:r>
      <w:r>
        <w:rPr>
          <w:rFonts w:asciiTheme="majorHAnsi" w:hAnsiTheme="majorHAnsi" w:cstheme="majorHAnsi"/>
          <w:color w:val="auto"/>
        </w:rPr>
        <w:t xml:space="preserve">, X do </w:t>
      </w:r>
      <w:r w:rsidR="00B661EA">
        <w:t>Decreto Municipal nº 1.047, de 08 de dezembro de 2023</w:t>
      </w:r>
      <w:r>
        <w:rPr>
          <w:rFonts w:asciiTheme="majorHAnsi" w:hAnsiTheme="majorHAnsi" w:cstheme="majorHAnsi"/>
          <w:color w:val="auto"/>
        </w:rPr>
        <w:t>)</w:t>
      </w:r>
      <w:r w:rsidRPr="00706EB4">
        <w:t>.</w:t>
      </w:r>
    </w:p>
    <w:p w14:paraId="19D4885D" w14:textId="117B3303" w:rsidR="0002499E" w:rsidRDefault="0002499E" w:rsidP="0002499E">
      <w:pPr>
        <w:pStyle w:val="Nivel2"/>
      </w:pPr>
      <w:r w:rsidRPr="00706EB4">
        <w:t xml:space="preserve">O gestor do </w:t>
      </w:r>
      <w:r w:rsidRPr="006E4526">
        <w:t>contrato</w:t>
      </w:r>
      <w:r w:rsidRPr="00706EB4">
        <w:t xml:space="preserve"> deverá elaborará relatório final com informações sobre a consecução dos objetivos que tenham justificado a contratação e eventuais condutas a serem adotadas para o aprimoramento das atividades da Administração</w:t>
      </w:r>
      <w:r>
        <w:t xml:space="preserve"> (</w:t>
      </w:r>
      <w:r>
        <w:rPr>
          <w:rFonts w:asciiTheme="majorHAnsi" w:hAnsiTheme="majorHAnsi" w:cstheme="majorHAnsi"/>
          <w:color w:val="auto"/>
        </w:rPr>
        <w:t xml:space="preserve">art. </w:t>
      </w:r>
      <w:r w:rsidR="00B661EA">
        <w:rPr>
          <w:rFonts w:asciiTheme="majorHAnsi" w:hAnsiTheme="majorHAnsi" w:cstheme="majorHAnsi"/>
          <w:color w:val="auto"/>
        </w:rPr>
        <w:t>19</w:t>
      </w:r>
      <w:r>
        <w:rPr>
          <w:rFonts w:asciiTheme="majorHAnsi" w:hAnsiTheme="majorHAnsi" w:cstheme="majorHAnsi"/>
          <w:color w:val="auto"/>
        </w:rPr>
        <w:t xml:space="preserve">, VI do </w:t>
      </w:r>
      <w:r w:rsidR="00B661EA">
        <w:t>Decreto Municipal nº 1.047, de 08 de dezembro de 2023</w:t>
      </w:r>
      <w:r>
        <w:rPr>
          <w:rFonts w:asciiTheme="majorHAnsi" w:hAnsiTheme="majorHAnsi" w:cstheme="majorHAnsi"/>
          <w:color w:val="auto"/>
        </w:rPr>
        <w:t>)</w:t>
      </w:r>
      <w:r w:rsidRPr="00706EB4">
        <w:t>.</w:t>
      </w:r>
    </w:p>
    <w:p w14:paraId="1F58EFD1" w14:textId="699C4220" w:rsidR="0002499E" w:rsidRDefault="0002499E" w:rsidP="00D0167A">
      <w:pPr>
        <w:pStyle w:val="Nivel2"/>
      </w:pPr>
      <w:r w:rsidRPr="005E63B6">
        <w:t xml:space="preserve">O gestor do contrato deverá enviar a documentação pertinente ao setor </w:t>
      </w:r>
      <w:r>
        <w:t>competente</w:t>
      </w:r>
      <w:r w:rsidRPr="005E63B6">
        <w:t xml:space="preserve"> para a formalização dos procedimentos de liquidação e </w:t>
      </w:r>
      <w:r w:rsidRPr="000B5B9A">
        <w:t>pagamento</w:t>
      </w:r>
      <w:r w:rsidRPr="005E63B6">
        <w:t>, no valor dimensionado pela fiscalização e gestão nos termos do contrato.</w:t>
      </w:r>
      <w:bookmarkEnd w:id="9"/>
    </w:p>
    <w:p w14:paraId="5847B691" w14:textId="77777777" w:rsidR="006D5FA5" w:rsidRPr="00706EB4" w:rsidRDefault="006D5FA5" w:rsidP="006E4526">
      <w:pPr>
        <w:pStyle w:val="Nivel01"/>
      </w:pPr>
      <w:r w:rsidRPr="00706EB4">
        <w:t xml:space="preserve">CRITÉRIOS DE </w:t>
      </w:r>
      <w:r w:rsidRPr="006E4526">
        <w:t>MEDIÇÃO</w:t>
      </w:r>
      <w:r w:rsidRPr="00706EB4">
        <w:t xml:space="preserve"> E DE PAGAMENTO</w:t>
      </w:r>
    </w:p>
    <w:p w14:paraId="52137DE9" w14:textId="0EB12F99" w:rsidR="009D76FA" w:rsidRPr="00706EB4" w:rsidRDefault="006D5FA5" w:rsidP="00013040">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Liquidaçã</w:t>
      </w:r>
      <w:r w:rsidR="004A5319" w:rsidRPr="00706EB4">
        <w:rPr>
          <w:rFonts w:asciiTheme="majorHAnsi" w:hAnsiTheme="majorHAnsi" w:cstheme="majorHAnsi"/>
          <w:color w:val="auto"/>
          <w:lang w:eastAsia="en-US"/>
        </w:rPr>
        <w:t>o</w:t>
      </w:r>
    </w:p>
    <w:p w14:paraId="423A2D43" w14:textId="75F6E417" w:rsidR="006D5FA5" w:rsidRPr="00706EB4" w:rsidRDefault="009F55FA" w:rsidP="006E4526">
      <w:pPr>
        <w:pStyle w:val="Nivel2"/>
        <w:rPr>
          <w:lang w:eastAsia="en-US"/>
        </w:rPr>
      </w:pPr>
      <w:r>
        <w:rPr>
          <w:lang w:eastAsia="en-US"/>
        </w:rPr>
        <w:t xml:space="preserve">Tendo </w:t>
      </w:r>
      <w:r>
        <w:t>o recibo locatício, ou documento de cobrança correspondente, recebido</w:t>
      </w:r>
      <w:r w:rsidR="006D5FA5" w:rsidRPr="00706EB4">
        <w:rPr>
          <w:lang w:eastAsia="en-US"/>
        </w:rPr>
        <w:t xml:space="preserve"> </w:t>
      </w:r>
      <w:r w:rsidR="00732257">
        <w:rPr>
          <w:lang w:eastAsia="en-US"/>
        </w:rPr>
        <w:t xml:space="preserve">o ateste do fiscal </w:t>
      </w:r>
      <w:r w:rsidR="00295081">
        <w:rPr>
          <w:lang w:eastAsia="en-US"/>
        </w:rPr>
        <w:t>do contrato</w:t>
      </w:r>
      <w:r w:rsidR="006D5FA5" w:rsidRPr="00706EB4">
        <w:rPr>
          <w:lang w:eastAsia="en-US"/>
        </w:rPr>
        <w:t xml:space="preserve">, correrá o prazo de </w:t>
      </w:r>
      <w:r w:rsidR="00187F3F">
        <w:rPr>
          <w:lang w:eastAsia="en-US"/>
        </w:rPr>
        <w:t>10 (</w:t>
      </w:r>
      <w:r w:rsidR="006D5FA5" w:rsidRPr="00706EB4">
        <w:rPr>
          <w:lang w:eastAsia="en-US"/>
        </w:rPr>
        <w:t>dez</w:t>
      </w:r>
      <w:r w:rsidR="00187F3F">
        <w:rPr>
          <w:lang w:eastAsia="en-US"/>
        </w:rPr>
        <w:t>)</w:t>
      </w:r>
      <w:r w:rsidR="006D5FA5" w:rsidRPr="00706EB4">
        <w:rPr>
          <w:lang w:eastAsia="en-US"/>
        </w:rPr>
        <w:t xml:space="preserve"> dias úteis para fins de liquidação, na forma desta seção, prorrogáveis por igual período.</w:t>
      </w:r>
    </w:p>
    <w:p w14:paraId="106D6C10" w14:textId="77777777" w:rsidR="0069245A" w:rsidRPr="00706EB4" w:rsidRDefault="0069245A" w:rsidP="0069245A">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23" w:anchor="art75" w:history="1">
        <w:r>
          <w:rPr>
            <w:rStyle w:val="Hyperlink"/>
          </w:rPr>
          <w:t>art. 75, II da Lei nº 14.133, de 2021</w:t>
        </w:r>
      </w:hyperlink>
      <w:r>
        <w:t>.</w:t>
      </w:r>
    </w:p>
    <w:p w14:paraId="03A44876" w14:textId="569CD9A1" w:rsidR="006D5FA5" w:rsidRPr="00706EB4" w:rsidRDefault="006D5FA5" w:rsidP="006E4526">
      <w:pPr>
        <w:pStyle w:val="Nivel2"/>
        <w:rPr>
          <w:lang w:eastAsia="en-US"/>
        </w:rPr>
      </w:pPr>
      <w:r w:rsidRPr="00706EB4">
        <w:rPr>
          <w:rFonts w:eastAsia="Calibri"/>
          <w:lang w:eastAsia="en-US"/>
        </w:rPr>
        <w:t xml:space="preserve">Havendo circunstância que impeça a </w:t>
      </w:r>
      <w:r w:rsidRPr="00706EB4">
        <w:rPr>
          <w:lang w:eastAsia="en-US"/>
        </w:rPr>
        <w:t xml:space="preserve">liquidação da despesa, esta </w:t>
      </w:r>
      <w:r w:rsidRPr="006E4526">
        <w:t>ficará</w:t>
      </w:r>
      <w:r w:rsidRPr="00706EB4">
        <w:rPr>
          <w:lang w:eastAsia="en-US"/>
        </w:rPr>
        <w:t xml:space="preserve"> sobrestada até que </w:t>
      </w:r>
      <w:r w:rsidR="009F55FA">
        <w:rPr>
          <w:lang w:eastAsia="en-US"/>
        </w:rPr>
        <w:t xml:space="preserve">a locadora </w:t>
      </w:r>
      <w:r w:rsidRPr="00706EB4">
        <w:rPr>
          <w:lang w:eastAsia="en-US"/>
        </w:rPr>
        <w:t>providencie as medidas saneadoras, reiniciando-se o prazo após a comprovação da regularização da situação, sem ônus ao contratante;</w:t>
      </w:r>
    </w:p>
    <w:p w14:paraId="6EFB90BA" w14:textId="77777777" w:rsidR="00E372D3" w:rsidRPr="005E3820" w:rsidRDefault="00E372D3" w:rsidP="00E372D3">
      <w:pPr>
        <w:pStyle w:val="Nivel2"/>
        <w:rPr>
          <w:b/>
          <w:bCs/>
          <w:lang w:eastAsia="ar-SA"/>
        </w:rPr>
      </w:pPr>
      <w:r>
        <w:t>A Administração deverá realizar consulta, aos cadastros seguintes, para identificar possível razão que impeça a participação em licitação, no âmbito do órgão ou entidade, proibição de contratar com o Poder Público, bem como ocorrências impeditivas indiretas:</w:t>
      </w:r>
    </w:p>
    <w:p w14:paraId="109404AF" w14:textId="77777777" w:rsidR="00816472" w:rsidRPr="00706EB4" w:rsidRDefault="00816472" w:rsidP="009F55FA">
      <w:pPr>
        <w:pStyle w:val="Nivel3"/>
      </w:pPr>
      <w:r w:rsidRPr="00706EB4">
        <w:t xml:space="preserve">Sistema de Cadastramento Unificado de Fornecedora - SICAF;  </w:t>
      </w:r>
    </w:p>
    <w:p w14:paraId="19845943" w14:textId="77777777" w:rsidR="00816472" w:rsidRPr="00706EB4" w:rsidRDefault="00816472" w:rsidP="009F55FA">
      <w:pPr>
        <w:pStyle w:val="Nivel3"/>
      </w:pPr>
      <w:r w:rsidRPr="00706EB4">
        <w:t>Cadastro Nacional de Empresas Inidôneas e Suspensas - CEIS, mantido pela Controladoria-Geral da União (</w:t>
      </w:r>
      <w:hyperlink r:id="rId24" w:history="1">
        <w:r w:rsidRPr="00706EB4">
          <w:rPr>
            <w:rStyle w:val="Hyperlink"/>
            <w:rFonts w:asciiTheme="majorHAnsi" w:hAnsiTheme="majorHAnsi" w:cstheme="majorHAnsi"/>
          </w:rPr>
          <w:t>https://www.portaltransparencia.gov.br/sancoes/ceis</w:t>
        </w:r>
      </w:hyperlink>
      <w:r w:rsidRPr="00706EB4">
        <w:t xml:space="preserve">); e </w:t>
      </w:r>
    </w:p>
    <w:p w14:paraId="05610ED9" w14:textId="77777777" w:rsidR="00816472" w:rsidRPr="00706EB4" w:rsidRDefault="00816472" w:rsidP="009F55FA">
      <w:pPr>
        <w:pStyle w:val="Nivel3"/>
        <w:rPr>
          <w:lang w:eastAsia="ar-SA"/>
        </w:rPr>
      </w:pPr>
      <w:r w:rsidRPr="00706EB4">
        <w:t>Cadastro Nacional de Empresas Punidas - CNEP, mantido pela Controladoria-Geral da União (</w:t>
      </w:r>
      <w:hyperlink r:id="rId25" w:history="1">
        <w:r w:rsidRPr="00706EB4">
          <w:rPr>
            <w:rStyle w:val="Hyperlink"/>
            <w:rFonts w:asciiTheme="majorHAnsi" w:hAnsiTheme="majorHAnsi" w:cstheme="majorHAnsi"/>
          </w:rPr>
          <w:t>https://www.portaltransparencia.gov.br/sancoes/cnep</w:t>
        </w:r>
      </w:hyperlink>
      <w:r w:rsidRPr="00706EB4">
        <w:t>).</w:t>
      </w:r>
    </w:p>
    <w:p w14:paraId="444C4DE6" w14:textId="16EDF2B4" w:rsidR="006D5FA5" w:rsidRPr="00706EB4" w:rsidRDefault="006D5FA5" w:rsidP="006E4526">
      <w:pPr>
        <w:pStyle w:val="Nivel2"/>
        <w:rPr>
          <w:lang w:eastAsia="en-US"/>
        </w:rPr>
      </w:pPr>
      <w:r w:rsidRPr="00706EB4">
        <w:rPr>
          <w:lang w:eastAsia="en-US"/>
        </w:rPr>
        <w:t xml:space="preserve">Constatando-se a situação de irregularidade </w:t>
      </w:r>
      <w:r w:rsidR="004D4F13">
        <w:rPr>
          <w:lang w:eastAsia="en-US"/>
        </w:rPr>
        <w:t>da locadora</w:t>
      </w:r>
      <w:r w:rsidRPr="00706EB4">
        <w:rPr>
          <w:lang w:eastAsia="en-US"/>
        </w:rPr>
        <w:t>, será providenciada sua notificação, por escrito, para que, no prazo de 5 (</w:t>
      </w:r>
      <w:r w:rsidRPr="006E4526">
        <w:t>cinco</w:t>
      </w:r>
      <w:r w:rsidRPr="00706EB4">
        <w:rPr>
          <w:lang w:eastAsia="en-US"/>
        </w:rPr>
        <w:t>) dias úteis, regularize sua situação ou, no mesmo prazo, apresente sua defesa. O prazo poderá ser prorrogado uma vez, por igual período, a critério do contratante.</w:t>
      </w:r>
    </w:p>
    <w:p w14:paraId="3E554E11" w14:textId="63014ADA" w:rsidR="006D5FA5" w:rsidRPr="00706EB4" w:rsidRDefault="006D5FA5" w:rsidP="006E4526">
      <w:pPr>
        <w:pStyle w:val="Nivel2"/>
        <w:rPr>
          <w:lang w:eastAsia="en-US"/>
        </w:rPr>
      </w:pPr>
      <w:r w:rsidRPr="00706EB4">
        <w:rPr>
          <w:lang w:eastAsia="en-US"/>
        </w:rPr>
        <w:lastRenderedPageBreak/>
        <w:t xml:space="preserve">Não havendo regularização ou sendo a defesa considerada improcedente, </w:t>
      </w:r>
      <w:r w:rsidR="004D4F13">
        <w:rPr>
          <w:lang w:eastAsia="en-US"/>
        </w:rPr>
        <w:t>a locatária</w:t>
      </w:r>
      <w:r w:rsidRPr="00706EB4">
        <w:rPr>
          <w:lang w:eastAsia="en-US"/>
        </w:rPr>
        <w:t xml:space="preserve"> deverá comunicar aos órgãos responsáveis pela fiscalização da regularidade fiscal quanto à inadimplência do contratado, bem como quanto à existência de </w:t>
      </w:r>
      <w:r w:rsidRPr="006E4526">
        <w:t>pagamento</w:t>
      </w:r>
      <w:r w:rsidRPr="00706EB4">
        <w:rPr>
          <w:lang w:eastAsia="en-US"/>
        </w:rPr>
        <w:t xml:space="preserve"> a ser efetuado, para que sejam acionados os meios pertinentes e necessários para garantir o recebimento de seus créditos.  </w:t>
      </w:r>
    </w:p>
    <w:p w14:paraId="69A0B006" w14:textId="309F50FD" w:rsidR="006D5FA5" w:rsidRPr="00706EB4" w:rsidRDefault="006D5FA5" w:rsidP="006E4526">
      <w:pPr>
        <w:pStyle w:val="Nivel2"/>
        <w:rPr>
          <w:lang w:eastAsia="en-US"/>
        </w:rPr>
      </w:pPr>
      <w:r w:rsidRPr="00706EB4">
        <w:rPr>
          <w:lang w:eastAsia="en-US"/>
        </w:rPr>
        <w:t xml:space="preserve">Persistindo a </w:t>
      </w:r>
      <w:r w:rsidRPr="006E4526">
        <w:t>irregularidade</w:t>
      </w:r>
      <w:r w:rsidRPr="00706EB4">
        <w:rPr>
          <w:lang w:eastAsia="en-US"/>
        </w:rPr>
        <w:t xml:space="preserve">, </w:t>
      </w:r>
      <w:r w:rsidR="004D4F13">
        <w:rPr>
          <w:lang w:eastAsia="en-US"/>
        </w:rPr>
        <w:t>a locatária</w:t>
      </w:r>
      <w:r w:rsidRPr="00706EB4">
        <w:rPr>
          <w:lang w:eastAsia="en-US"/>
        </w:rPr>
        <w:t xml:space="preserve"> deverá adotar as medidas necessárias à rescisão contratual nos autos do processo administrativo correspondente, assegurada ao contratado a ampla defesa. </w:t>
      </w:r>
    </w:p>
    <w:p w14:paraId="548DCBD1" w14:textId="480E7A46" w:rsidR="006D5FA5" w:rsidRPr="00706EB4" w:rsidRDefault="006D5FA5" w:rsidP="006E4526">
      <w:pPr>
        <w:pStyle w:val="Nivel2"/>
        <w:rPr>
          <w:lang w:eastAsia="en-US"/>
        </w:rPr>
      </w:pPr>
      <w:r w:rsidRPr="00706EB4">
        <w:rPr>
          <w:lang w:eastAsia="en-US"/>
        </w:rPr>
        <w:t xml:space="preserve">Havendo a efetiva </w:t>
      </w:r>
      <w:r w:rsidRPr="006E4526">
        <w:t>execução</w:t>
      </w:r>
      <w:r w:rsidRPr="00706EB4">
        <w:rPr>
          <w:lang w:eastAsia="en-US"/>
        </w:rPr>
        <w:t xml:space="preserve"> do objeto, os pagamentos serão realizados normalmente, até que se decida pela rescisão do contrato, caso </w:t>
      </w:r>
      <w:r w:rsidR="004D4F13">
        <w:rPr>
          <w:lang w:eastAsia="en-US"/>
        </w:rPr>
        <w:t>a locatária</w:t>
      </w:r>
      <w:r w:rsidRPr="00706EB4">
        <w:rPr>
          <w:lang w:eastAsia="en-US"/>
        </w:rPr>
        <w:t xml:space="preserve"> não regularize sua situação.  </w:t>
      </w:r>
    </w:p>
    <w:p w14:paraId="5ED0F182" w14:textId="77777777" w:rsidR="006D5FA5" w:rsidRPr="00706EB4" w:rsidRDefault="006D5FA5" w:rsidP="00AF57C6">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Prazo de pagamento</w:t>
      </w:r>
    </w:p>
    <w:p w14:paraId="53093DAE" w14:textId="0349D011" w:rsidR="00E372D3" w:rsidRDefault="00E372D3" w:rsidP="00E372D3">
      <w:pPr>
        <w:pStyle w:val="Nivel2"/>
      </w:pPr>
      <w:r w:rsidRPr="00706EB4">
        <w:t xml:space="preserve">O pagamento será </w:t>
      </w:r>
      <w:r w:rsidRPr="006E4526">
        <w:t>efetuado</w:t>
      </w:r>
      <w:r w:rsidRPr="00706EB4">
        <w:t xml:space="preserve"> no prazo de até </w:t>
      </w:r>
      <w:r>
        <w:t>20</w:t>
      </w:r>
      <w:r w:rsidRPr="00706EB4">
        <w:t xml:space="preserve"> (</w:t>
      </w:r>
      <w:r>
        <w:t>vinte</w:t>
      </w:r>
      <w:r w:rsidRPr="00706EB4">
        <w:t>) dias úteis contados da finalização da liquidação da despesa, conforme seção anterior.</w:t>
      </w:r>
    </w:p>
    <w:p w14:paraId="69F4CFEE" w14:textId="6B4DD9A8" w:rsidR="003309CF" w:rsidRPr="00706EB4" w:rsidRDefault="00EC5990" w:rsidP="003309CF">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26" w:anchor="art75" w:history="1">
        <w:r>
          <w:rPr>
            <w:rStyle w:val="Hyperlink"/>
          </w:rPr>
          <w:t>art. 75, II da Lei nº 14.133, de 2021</w:t>
        </w:r>
      </w:hyperlink>
      <w:r w:rsidR="003309CF" w:rsidRPr="00706EB4">
        <w:t>.</w:t>
      </w:r>
    </w:p>
    <w:p w14:paraId="462CCEED" w14:textId="7B983E88" w:rsidR="006D5FA5" w:rsidRPr="00706EB4" w:rsidRDefault="006D5FA5" w:rsidP="004D4F13">
      <w:pPr>
        <w:pStyle w:val="Nivel2"/>
        <w:rPr>
          <w:lang w:eastAsia="en-US"/>
        </w:rPr>
      </w:pPr>
      <w:r w:rsidRPr="00706EB4">
        <w:rPr>
          <w:lang w:eastAsia="en-US"/>
        </w:rPr>
        <w:t>No caso de atraso pe</w:t>
      </w:r>
      <w:r w:rsidR="004D4F13">
        <w:rPr>
          <w:lang w:eastAsia="en-US"/>
        </w:rPr>
        <w:t>la locatária</w:t>
      </w:r>
      <w:r w:rsidRPr="00706EB4">
        <w:rPr>
          <w:lang w:eastAsia="en-US"/>
        </w:rPr>
        <w:t xml:space="preserve">, os valores devidos </w:t>
      </w:r>
      <w:proofErr w:type="gramStart"/>
      <w:r w:rsidR="004D4F13">
        <w:rPr>
          <w:lang w:eastAsia="en-US"/>
        </w:rPr>
        <w:t>a</w:t>
      </w:r>
      <w:proofErr w:type="gramEnd"/>
      <w:r w:rsidR="004D4F13">
        <w:rPr>
          <w:lang w:eastAsia="en-US"/>
        </w:rPr>
        <w:t xml:space="preserve"> locadora</w:t>
      </w:r>
      <w:r w:rsidRPr="00706EB4">
        <w:rPr>
          <w:lang w:eastAsia="en-US"/>
        </w:rPr>
        <w:t xml:space="preserve"> serão atualizados monetariamente entre o termo final do prazo de pagamento até a data de sua efetiva realização, mediante aplicação do índice </w:t>
      </w:r>
      <w:r w:rsidRPr="004D4F13">
        <w:rPr>
          <w:i/>
          <w:iCs/>
          <w:color w:val="FF0000"/>
          <w:lang w:eastAsia="en-US"/>
        </w:rPr>
        <w:t>XXXX</w:t>
      </w:r>
      <w:r w:rsidRPr="00706EB4">
        <w:rPr>
          <w:lang w:eastAsia="en-US"/>
        </w:rPr>
        <w:t xml:space="preserve"> de correção monetária.</w:t>
      </w:r>
    </w:p>
    <w:p w14:paraId="00A99A0A" w14:textId="05871527" w:rsidR="00C45AF7" w:rsidRPr="00706EB4" w:rsidRDefault="00C45AF7" w:rsidP="00C45AF7">
      <w:pPr>
        <w:pStyle w:val="Notaexplicativa"/>
        <w:rPr>
          <w:rFonts w:asciiTheme="majorHAnsi" w:hAnsiTheme="majorHAnsi" w:cstheme="majorHAnsi"/>
        </w:rPr>
      </w:pPr>
      <w:r w:rsidRPr="00706EB4">
        <w:rPr>
          <w:b/>
          <w:bCs/>
        </w:rPr>
        <w:t>Nota Explicativa:</w:t>
      </w:r>
      <w:r w:rsidRPr="00706EB4">
        <w:t xml:space="preserve"> Deverá a Administração indicar o índice de preços a ser utilizado para a atualização monetária do valor devido ao contratado.</w:t>
      </w:r>
    </w:p>
    <w:p w14:paraId="06648BED" w14:textId="77777777" w:rsidR="006D5FA5" w:rsidRPr="00706EB4" w:rsidRDefault="006D5FA5" w:rsidP="00AF57C6">
      <w:pPr>
        <w:pStyle w:val="Nvel1-SemNum"/>
        <w:spacing w:afterLines="120" w:after="288" w:line="312" w:lineRule="auto"/>
        <w:rPr>
          <w:rFonts w:asciiTheme="majorHAnsi" w:hAnsiTheme="majorHAnsi" w:cstheme="majorHAnsi"/>
          <w:color w:val="auto"/>
          <w:lang w:eastAsia="en-US"/>
        </w:rPr>
      </w:pPr>
      <w:r w:rsidRPr="00706EB4">
        <w:rPr>
          <w:rFonts w:asciiTheme="majorHAnsi" w:hAnsiTheme="majorHAnsi" w:cstheme="majorHAnsi"/>
          <w:color w:val="auto"/>
          <w:lang w:eastAsia="en-US"/>
        </w:rPr>
        <w:t>Forma de pagamento</w:t>
      </w:r>
    </w:p>
    <w:p w14:paraId="07C78524" w14:textId="576725DF" w:rsidR="00E372D3" w:rsidRPr="006E4526" w:rsidRDefault="00E372D3" w:rsidP="00E372D3">
      <w:pPr>
        <w:pStyle w:val="Nivel2"/>
      </w:pPr>
      <w:r w:rsidRPr="00706EB4">
        <w:rPr>
          <w:lang w:eastAsia="en-US"/>
        </w:rPr>
        <w:t xml:space="preserve">O pagamento será </w:t>
      </w:r>
      <w:r w:rsidRPr="006E4526">
        <w:t>realizado por meio de ordem bancária</w:t>
      </w:r>
      <w:r>
        <w:t xml:space="preserve"> ou transferência eletrônica</w:t>
      </w:r>
      <w:r w:rsidRPr="006E4526">
        <w:t>, para crédito em banco, agência e conta corrente indicados pel</w:t>
      </w:r>
      <w:r w:rsidR="004D4F13">
        <w:t>a locadora</w:t>
      </w:r>
      <w:r>
        <w:t>, cheque nominal ou cartão eletrônico</w:t>
      </w:r>
      <w:r w:rsidRPr="006E4526">
        <w:t>.</w:t>
      </w:r>
    </w:p>
    <w:p w14:paraId="0C4B7B3E" w14:textId="77777777" w:rsidR="00E372D3" w:rsidRPr="006E4526" w:rsidRDefault="00E372D3" w:rsidP="00E372D3">
      <w:pPr>
        <w:pStyle w:val="Nivel2"/>
      </w:pPr>
      <w:r w:rsidRPr="006E4526">
        <w:t>Será considerada data do pagamento</w:t>
      </w:r>
      <w:r>
        <w:t>, no caso de ordem bancária,</w:t>
      </w:r>
      <w:r w:rsidRPr="006E4526">
        <w:t xml:space="preserve"> o dia em que constar como emi</w:t>
      </w:r>
      <w:r>
        <w:t>tida, no caso de transferência eletrônica, a data de sua efetivação, no caso de cheque nominal, a data de seu recebimento pelo credor</w:t>
      </w:r>
      <w:r w:rsidRPr="006E4526">
        <w:t>.</w:t>
      </w:r>
    </w:p>
    <w:p w14:paraId="4308B690" w14:textId="77777777" w:rsidR="006D5FA5" w:rsidRPr="00706EB4" w:rsidRDefault="006D5FA5" w:rsidP="006E4526">
      <w:pPr>
        <w:pStyle w:val="Nivel2"/>
        <w:rPr>
          <w:lang w:eastAsia="en-US"/>
        </w:rPr>
      </w:pPr>
      <w:r w:rsidRPr="006E4526">
        <w:t>Quando do pagament</w:t>
      </w:r>
      <w:r w:rsidRPr="00706EB4">
        <w:rPr>
          <w:lang w:eastAsia="en-US"/>
        </w:rPr>
        <w:t>o, será efetuada a retenção tributária prevista na legislação aplicável.</w:t>
      </w:r>
    </w:p>
    <w:p w14:paraId="4050937F" w14:textId="301D281A" w:rsidR="006D5FA5" w:rsidRPr="00706EB4" w:rsidRDefault="006D5FA5" w:rsidP="006E4526">
      <w:pPr>
        <w:pStyle w:val="Nivel3"/>
        <w:rPr>
          <w:lang w:eastAsia="en-US"/>
        </w:rPr>
      </w:pPr>
      <w:r w:rsidRPr="00706EB4">
        <w:rPr>
          <w:lang w:eastAsia="en-US"/>
        </w:rPr>
        <w:t xml:space="preserve">Independentemente </w:t>
      </w:r>
      <w:r w:rsidRPr="006E4526">
        <w:t>do</w:t>
      </w:r>
      <w:r w:rsidRPr="00706EB4">
        <w:rPr>
          <w:lang w:eastAsia="en-US"/>
        </w:rPr>
        <w:t xml:space="preserve"> percentual de tributo inserido na planilha, quando houver, serão retidos na fonte, quando da realização do pagamento, os percentuais estabelecidos na legislação vigente.</w:t>
      </w:r>
    </w:p>
    <w:p w14:paraId="69983AB2" w14:textId="1010A2EC" w:rsidR="00C45AF7" w:rsidRPr="00706EB4" w:rsidRDefault="00C45AF7" w:rsidP="00C45AF7">
      <w:pPr>
        <w:pStyle w:val="Notaexplicativa"/>
        <w:rPr>
          <w:rFonts w:asciiTheme="majorHAnsi" w:hAnsiTheme="majorHAnsi" w:cstheme="majorHAnsi"/>
        </w:rPr>
      </w:pPr>
      <w:r w:rsidRPr="00706EB4">
        <w:rPr>
          <w:b/>
          <w:bCs/>
        </w:rPr>
        <w:t xml:space="preserve">Nota Explicativa: </w:t>
      </w:r>
      <w:r w:rsidRPr="00706EB4">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5798EBC7" w14:textId="3A9B82C6" w:rsidR="006D5FA5" w:rsidRPr="00706EB4" w:rsidRDefault="004D4F13" w:rsidP="006E4526">
      <w:pPr>
        <w:pStyle w:val="Nivel2"/>
        <w:rPr>
          <w:lang w:eastAsia="en-US"/>
        </w:rPr>
      </w:pPr>
      <w:r>
        <w:rPr>
          <w:lang w:eastAsia="en-US"/>
        </w:rPr>
        <w:t xml:space="preserve">A locadora </w:t>
      </w:r>
      <w:r w:rsidR="006D5FA5" w:rsidRPr="00706EB4">
        <w:rPr>
          <w:lang w:eastAsia="en-US"/>
        </w:rPr>
        <w:t xml:space="preserve">regularmente optante pelo Simples Nacional, nos termos da </w:t>
      </w:r>
      <w:hyperlink r:id="rId27" w:history="1">
        <w:r w:rsidR="006D5FA5" w:rsidRPr="00706EB4">
          <w:rPr>
            <w:rStyle w:val="Hyperlink"/>
            <w:rFonts w:asciiTheme="majorHAnsi" w:hAnsiTheme="majorHAnsi" w:cstheme="majorHAnsi"/>
            <w:lang w:eastAsia="en-US"/>
          </w:rPr>
          <w:t>Lei Complementar nº 123, de</w:t>
        </w:r>
        <w:r w:rsidR="00C45AF7" w:rsidRPr="00706EB4">
          <w:rPr>
            <w:rStyle w:val="Hyperlink"/>
            <w:rFonts w:asciiTheme="majorHAnsi" w:hAnsiTheme="majorHAnsi" w:cstheme="majorHAnsi"/>
            <w:lang w:eastAsia="en-US"/>
          </w:rPr>
          <w:t xml:space="preserve"> 14 de dezembro</w:t>
        </w:r>
        <w:r w:rsidR="006D5FA5" w:rsidRPr="00706EB4">
          <w:rPr>
            <w:rStyle w:val="Hyperlink"/>
            <w:rFonts w:asciiTheme="majorHAnsi" w:hAnsiTheme="majorHAnsi" w:cstheme="majorHAnsi"/>
            <w:lang w:eastAsia="en-US"/>
          </w:rPr>
          <w:t xml:space="preserve"> 2006</w:t>
        </w:r>
      </w:hyperlink>
      <w:r w:rsidR="006D5FA5" w:rsidRPr="00706EB4">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24D412" w14:textId="3BA00A6A" w:rsidR="006D5FA5" w:rsidRPr="00706EB4" w:rsidRDefault="006D5FA5" w:rsidP="006E4526">
      <w:pPr>
        <w:pStyle w:val="Nivel01"/>
      </w:pPr>
      <w:r w:rsidRPr="00706EB4">
        <w:lastRenderedPageBreak/>
        <w:t xml:space="preserve">FORMA E CRITÉRIOS DE SELEÇÃO DO </w:t>
      </w:r>
      <w:r w:rsidR="00E168C6">
        <w:t>IMÓVEL</w:t>
      </w:r>
    </w:p>
    <w:p w14:paraId="55E892C6" w14:textId="7FC17B9D" w:rsidR="006D5FA5" w:rsidRPr="00706EB4" w:rsidRDefault="006D5FA5" w:rsidP="007A5C07">
      <w:pPr>
        <w:pStyle w:val="Nvel1-SemNum"/>
        <w:spacing w:afterLines="120" w:after="288" w:line="312" w:lineRule="auto"/>
        <w:ind w:left="0" w:firstLine="567"/>
        <w:rPr>
          <w:rFonts w:asciiTheme="majorHAnsi" w:hAnsiTheme="majorHAnsi" w:cstheme="majorHAnsi"/>
          <w:color w:val="auto"/>
          <w:highlight w:val="yellow"/>
        </w:rPr>
      </w:pPr>
      <w:r w:rsidRPr="00706EB4">
        <w:rPr>
          <w:rFonts w:asciiTheme="majorHAnsi" w:hAnsiTheme="majorHAnsi" w:cstheme="majorHAnsi"/>
          <w:color w:val="auto"/>
          <w:lang w:eastAsia="en-US"/>
        </w:rPr>
        <w:t xml:space="preserve">Forma de seleção </w:t>
      </w:r>
      <w:r w:rsidR="00F65C7E">
        <w:rPr>
          <w:rFonts w:asciiTheme="majorHAnsi" w:hAnsiTheme="majorHAnsi" w:cstheme="majorHAnsi"/>
          <w:color w:val="auto"/>
          <w:lang w:eastAsia="en-US"/>
        </w:rPr>
        <w:t>do imóvel</w:t>
      </w:r>
    </w:p>
    <w:p w14:paraId="5AAFB39A" w14:textId="4B4D35CD" w:rsidR="00647843" w:rsidRDefault="00647843" w:rsidP="00261B52">
      <w:pPr>
        <w:pStyle w:val="Nivel2"/>
      </w:pPr>
      <w:r w:rsidRPr="00706EB4">
        <w:t xml:space="preserve">O </w:t>
      </w:r>
      <w:r w:rsidR="00E168C6">
        <w:t>imóvel</w:t>
      </w:r>
      <w:r w:rsidRPr="00706EB4">
        <w:t xml:space="preserve"> será selecionado por meio da realização de procedimento de </w:t>
      </w:r>
      <w:r w:rsidR="00261B52">
        <w:t xml:space="preserve">INEXIGIBILIDADE </w:t>
      </w:r>
      <w:r>
        <w:t>DE LICITAÇÃO</w:t>
      </w:r>
      <w:r w:rsidRPr="00706EB4">
        <w:t xml:space="preserve">, </w:t>
      </w:r>
      <w:r>
        <w:t xml:space="preserve">com fundamento na hipótese do art. 74, </w:t>
      </w:r>
      <w:r w:rsidR="00261B52">
        <w:t>V</w:t>
      </w:r>
      <w:r w:rsidR="00F65C7E">
        <w:t xml:space="preserve"> da Lei nº 14.133, de 2021, desde que atenda aos seguintes requisitos:</w:t>
      </w:r>
    </w:p>
    <w:p w14:paraId="565585B4" w14:textId="50C7A7AD" w:rsidR="00F65C7E" w:rsidRPr="00F65C7E" w:rsidRDefault="00F65C7E" w:rsidP="00D62932">
      <w:pPr>
        <w:pStyle w:val="Nivel3"/>
        <w:numPr>
          <w:ilvl w:val="0"/>
          <w:numId w:val="11"/>
        </w:numPr>
        <w:ind w:left="993" w:firstLine="0"/>
        <w:rPr>
          <w:i/>
          <w:color w:val="FF0000"/>
        </w:rPr>
      </w:pPr>
      <w:r w:rsidRPr="00F65C7E">
        <w:rPr>
          <w:i/>
          <w:color w:val="FF0000"/>
        </w:rPr>
        <w:t>.......</w:t>
      </w:r>
    </w:p>
    <w:p w14:paraId="35482EB8" w14:textId="5F4F8C8A" w:rsidR="00F65C7E" w:rsidRPr="00F65C7E" w:rsidRDefault="00F65C7E" w:rsidP="00D62932">
      <w:pPr>
        <w:pStyle w:val="Nivel3"/>
        <w:numPr>
          <w:ilvl w:val="0"/>
          <w:numId w:val="11"/>
        </w:numPr>
        <w:ind w:left="993" w:firstLine="0"/>
        <w:rPr>
          <w:i/>
          <w:color w:val="FF0000"/>
        </w:rPr>
      </w:pPr>
      <w:r w:rsidRPr="00F65C7E">
        <w:rPr>
          <w:i/>
          <w:color w:val="FF0000"/>
        </w:rPr>
        <w:t>.......</w:t>
      </w:r>
    </w:p>
    <w:p w14:paraId="09CF61A7" w14:textId="71BCBAFA" w:rsidR="00F65C7E" w:rsidRPr="00F65C7E" w:rsidRDefault="00F65C7E" w:rsidP="00D62932">
      <w:pPr>
        <w:pStyle w:val="Nivel3"/>
        <w:numPr>
          <w:ilvl w:val="0"/>
          <w:numId w:val="11"/>
        </w:numPr>
        <w:ind w:left="993" w:firstLine="0"/>
        <w:rPr>
          <w:i/>
          <w:color w:val="FF0000"/>
        </w:rPr>
      </w:pPr>
      <w:r w:rsidRPr="00F65C7E">
        <w:rPr>
          <w:i/>
          <w:color w:val="FF0000"/>
        </w:rPr>
        <w:t>.......</w:t>
      </w:r>
    </w:p>
    <w:p w14:paraId="0908F80A" w14:textId="5928005B" w:rsidR="00D26F26" w:rsidRDefault="00D26F26" w:rsidP="00D62932">
      <w:pPr>
        <w:pStyle w:val="Nivel2"/>
        <w:numPr>
          <w:ilvl w:val="1"/>
          <w:numId w:val="9"/>
        </w:numPr>
        <w:spacing w:line="256" w:lineRule="auto"/>
        <w:ind w:left="0" w:firstLine="0"/>
        <w:rPr>
          <w:color w:val="auto"/>
        </w:rPr>
      </w:pPr>
      <w:r>
        <w:rPr>
          <w:lang w:eastAsia="en-US"/>
        </w:rPr>
        <w:t>Previamente à celebração do contrato, a Administração verificará o eventual descumprimento das condições para contratação, especialmente quanto à existência de sanção que a impeça, mediante a consulta a cadastros informativos oficiais, tais como:</w:t>
      </w:r>
    </w:p>
    <w:p w14:paraId="38203C33" w14:textId="77777777" w:rsidR="00D26F26" w:rsidRDefault="00D26F26" w:rsidP="00D62932">
      <w:pPr>
        <w:pStyle w:val="Nivel3"/>
        <w:numPr>
          <w:ilvl w:val="2"/>
          <w:numId w:val="9"/>
        </w:numPr>
        <w:spacing w:line="254" w:lineRule="auto"/>
        <w:ind w:left="425" w:firstLine="567"/>
        <w:rPr>
          <w:color w:val="auto"/>
          <w:lang w:eastAsia="ar-SA"/>
        </w:rPr>
      </w:pPr>
      <w:r>
        <w:rPr>
          <w:lang w:eastAsia="ar-SA"/>
        </w:rPr>
        <w:t xml:space="preserve">Sistema de Cadastramento Unificado de Fornecedora - SICAF;  </w:t>
      </w:r>
    </w:p>
    <w:p w14:paraId="47B23C94" w14:textId="77777777" w:rsidR="00D26F26" w:rsidRDefault="00D26F26" w:rsidP="00D62932">
      <w:pPr>
        <w:pStyle w:val="Nivel3"/>
        <w:numPr>
          <w:ilvl w:val="2"/>
          <w:numId w:val="9"/>
        </w:numPr>
        <w:spacing w:line="254" w:lineRule="auto"/>
        <w:ind w:left="425" w:firstLine="567"/>
        <w:rPr>
          <w:rFonts w:cs="Tahoma"/>
          <w:szCs w:val="24"/>
          <w:lang w:eastAsia="ar-SA"/>
        </w:rPr>
      </w:pPr>
      <w:r>
        <w:rPr>
          <w:lang w:eastAsia="ar-SA"/>
        </w:rPr>
        <w:t>Cadastro Nacional de Empresas Inidôneas e Suspensas - CEIS, mantido pela Controladoria-Geral da União (</w:t>
      </w:r>
      <w:hyperlink r:id="rId28" w:history="1">
        <w:r>
          <w:rPr>
            <w:rStyle w:val="Hyperlink"/>
            <w:rFonts w:asciiTheme="majorHAnsi" w:hAnsiTheme="majorHAnsi" w:cstheme="majorHAnsi"/>
            <w:lang w:eastAsia="ar-SA"/>
          </w:rPr>
          <w:t>https://www.portaltransparencia.gov.br/sancoes/ceis</w:t>
        </w:r>
      </w:hyperlink>
      <w:r>
        <w:rPr>
          <w:lang w:eastAsia="ar-SA"/>
        </w:rPr>
        <w:t xml:space="preserve">); e </w:t>
      </w:r>
    </w:p>
    <w:p w14:paraId="1BCAE19E" w14:textId="77777777" w:rsidR="00D26F26" w:rsidRDefault="00D26F26" w:rsidP="00D62932">
      <w:pPr>
        <w:pStyle w:val="Nivel3"/>
        <w:numPr>
          <w:ilvl w:val="2"/>
          <w:numId w:val="9"/>
        </w:numPr>
        <w:spacing w:line="254" w:lineRule="auto"/>
        <w:ind w:left="425" w:firstLine="567"/>
        <w:rPr>
          <w:lang w:eastAsia="ar-SA"/>
        </w:rPr>
      </w:pPr>
      <w:r>
        <w:rPr>
          <w:lang w:eastAsia="ar-SA"/>
        </w:rPr>
        <w:t>Cadastro Nacional de Empresas Punidas - CNEP, mantido pela Controladoria-Geral da União (</w:t>
      </w:r>
      <w:hyperlink r:id="rId29" w:history="1">
        <w:r>
          <w:rPr>
            <w:rStyle w:val="Hyperlink"/>
            <w:rFonts w:asciiTheme="majorHAnsi" w:hAnsiTheme="majorHAnsi" w:cstheme="majorHAnsi"/>
            <w:lang w:eastAsia="ar-SA"/>
          </w:rPr>
          <w:t>https://www.portaltransparencia.gov.br/sancoes/cnep</w:t>
        </w:r>
      </w:hyperlink>
      <w:r>
        <w:rPr>
          <w:lang w:eastAsia="ar-SA"/>
        </w:rPr>
        <w:t>).</w:t>
      </w:r>
    </w:p>
    <w:p w14:paraId="513E3ACC" w14:textId="1CED294F" w:rsidR="00D26F26" w:rsidRDefault="00D26F26" w:rsidP="00D62932">
      <w:pPr>
        <w:pStyle w:val="Nivel2"/>
        <w:numPr>
          <w:ilvl w:val="1"/>
          <w:numId w:val="9"/>
        </w:numPr>
        <w:spacing w:line="256" w:lineRule="auto"/>
        <w:ind w:left="0" w:firstLine="0"/>
        <w:rPr>
          <w:lang w:eastAsia="en-US"/>
        </w:rPr>
      </w:pPr>
      <w:r>
        <w:rPr>
          <w:lang w:eastAsia="en-US"/>
        </w:rPr>
        <w:t xml:space="preserve">A consulta aos cadastros será realizada em nome da empresa </w:t>
      </w:r>
      <w:r w:rsidR="00E168C6">
        <w:rPr>
          <w:lang w:eastAsia="en-US"/>
        </w:rPr>
        <w:t>proponente</w:t>
      </w:r>
      <w:r>
        <w:rPr>
          <w:lang w:eastAsia="en-US"/>
        </w:rPr>
        <w:t xml:space="preserve"> e também de seu sócio majoritário, por força da vedação de que trata o </w:t>
      </w:r>
      <w:hyperlink r:id="rId30" w:anchor="art12" w:history="1">
        <w:r>
          <w:rPr>
            <w:rStyle w:val="Hyperlink"/>
            <w:lang w:eastAsia="en-US"/>
          </w:rPr>
          <w:t>art. 12 da Lei nº 8.429, de 02 de junho de 1992</w:t>
        </w:r>
      </w:hyperlink>
      <w:r>
        <w:rPr>
          <w:lang w:eastAsia="en-US"/>
        </w:rPr>
        <w:t>.</w:t>
      </w:r>
    </w:p>
    <w:p w14:paraId="5B627A20" w14:textId="678D745B" w:rsidR="00D26F26" w:rsidRDefault="00D26F26" w:rsidP="00D62932">
      <w:pPr>
        <w:pStyle w:val="Nivel2"/>
        <w:numPr>
          <w:ilvl w:val="1"/>
          <w:numId w:val="9"/>
        </w:numPr>
        <w:spacing w:line="256" w:lineRule="auto"/>
        <w:ind w:left="0" w:firstLine="0"/>
        <w:rPr>
          <w:lang w:eastAsia="en-US"/>
        </w:rPr>
      </w:pPr>
      <w:r>
        <w:rPr>
          <w:iCs/>
          <w:lang w:eastAsia="en-US"/>
        </w:rPr>
        <w:t xml:space="preserve">Caso conste na consulta de situação do </w:t>
      </w:r>
      <w:r w:rsidR="00E168C6">
        <w:rPr>
          <w:iCs/>
          <w:lang w:eastAsia="en-US"/>
        </w:rPr>
        <w:t>proponente</w:t>
      </w:r>
      <w:r>
        <w:rPr>
          <w:iCs/>
          <w:lang w:eastAsia="en-US"/>
        </w:rPr>
        <w:t xml:space="preserve"> a existência de Ocorrências Impeditivas Indiretas, o gestor diligenciará para verificar se houve fraude por parte das empresas apontadas no Relatório de Ocorrências Impeditivas Indiretas.</w:t>
      </w:r>
    </w:p>
    <w:p w14:paraId="6BF40B8B" w14:textId="77777777" w:rsidR="00D26F26" w:rsidRDefault="00D26F26" w:rsidP="00D62932">
      <w:pPr>
        <w:pStyle w:val="Nivel3"/>
        <w:numPr>
          <w:ilvl w:val="2"/>
          <w:numId w:val="9"/>
        </w:numPr>
        <w:spacing w:line="254" w:lineRule="auto"/>
        <w:ind w:left="425" w:firstLine="567"/>
      </w:pPr>
      <w:r>
        <w:t xml:space="preserve">A tentativa de burla será verificada por meio dos vínculos societários, linhas de fornecimento similares, dentre outros. </w:t>
      </w:r>
    </w:p>
    <w:p w14:paraId="0C6BBF3F" w14:textId="7F235AB9" w:rsidR="00D26F26" w:rsidRDefault="00D26F26" w:rsidP="00D62932">
      <w:pPr>
        <w:pStyle w:val="Nivel3"/>
        <w:numPr>
          <w:ilvl w:val="2"/>
          <w:numId w:val="9"/>
        </w:numPr>
        <w:spacing w:line="254" w:lineRule="auto"/>
        <w:ind w:left="425" w:firstLine="567"/>
        <w:rPr>
          <w:rFonts w:cs="Tahoma"/>
          <w:szCs w:val="24"/>
        </w:rPr>
      </w:pPr>
      <w:r>
        <w:t xml:space="preserve">O </w:t>
      </w:r>
      <w:r w:rsidR="00E168C6">
        <w:t>proponente</w:t>
      </w:r>
      <w:r>
        <w:t xml:space="preserve"> será convocado para manifestação previamente a uma eventual negativa de contratação.</w:t>
      </w:r>
    </w:p>
    <w:p w14:paraId="1C948F28" w14:textId="7E9FA884" w:rsidR="00D26F26" w:rsidRDefault="00D26F26" w:rsidP="00D62932">
      <w:pPr>
        <w:pStyle w:val="Nivel3"/>
        <w:numPr>
          <w:ilvl w:val="2"/>
          <w:numId w:val="9"/>
        </w:numPr>
        <w:spacing w:line="254" w:lineRule="auto"/>
        <w:ind w:left="425" w:firstLine="567"/>
      </w:pPr>
      <w:r>
        <w:t xml:space="preserve">Constatada a existência de sanção, o </w:t>
      </w:r>
      <w:r w:rsidR="00E168C6">
        <w:t>imóvel</w:t>
      </w:r>
      <w:r>
        <w:t xml:space="preserve"> não poderá ser </w:t>
      </w:r>
      <w:r w:rsidR="00E168C6">
        <w:t>locado</w:t>
      </w:r>
      <w:r>
        <w:t>, por falta de condição de participação.</w:t>
      </w:r>
    </w:p>
    <w:p w14:paraId="0A44BF03" w14:textId="4674FD67" w:rsidR="00D26F26" w:rsidRDefault="00D26F26" w:rsidP="00D62932">
      <w:pPr>
        <w:pStyle w:val="Nivel2"/>
        <w:numPr>
          <w:ilvl w:val="1"/>
          <w:numId w:val="9"/>
        </w:numPr>
        <w:spacing w:line="254" w:lineRule="auto"/>
        <w:ind w:left="0" w:firstLine="0"/>
      </w:pPr>
      <w:r>
        <w:t xml:space="preserve">Caso atendidas as condições para contratação, a habilitação do </w:t>
      </w:r>
      <w:r w:rsidR="00E168C6">
        <w:t>proponente</w:t>
      </w:r>
      <w:r>
        <w:t xml:space="preserve"> será verificada por meio da comprovação dos requisitos abaixo.</w:t>
      </w:r>
    </w:p>
    <w:p w14:paraId="6231C289" w14:textId="4B21F174" w:rsidR="006D5FA5" w:rsidRPr="00706EB4" w:rsidRDefault="006D5FA5" w:rsidP="007A5C07">
      <w:pPr>
        <w:pStyle w:val="Nvel1-SemNum"/>
        <w:tabs>
          <w:tab w:val="clear" w:pos="567"/>
          <w:tab w:val="left" w:pos="1418"/>
        </w:tabs>
        <w:spacing w:afterLines="120" w:after="288" w:line="312" w:lineRule="auto"/>
        <w:ind w:left="0" w:firstLine="567"/>
        <w:rPr>
          <w:rFonts w:asciiTheme="majorHAnsi" w:hAnsiTheme="majorHAnsi" w:cstheme="majorHAnsi"/>
          <w:color w:val="auto"/>
          <w:lang w:eastAsia="en-US"/>
        </w:rPr>
      </w:pPr>
      <w:r w:rsidRPr="00706EB4">
        <w:rPr>
          <w:rFonts w:asciiTheme="majorHAnsi" w:hAnsiTheme="majorHAnsi" w:cstheme="majorHAnsi"/>
          <w:color w:val="auto"/>
          <w:lang w:eastAsia="en-US"/>
        </w:rPr>
        <w:t>Exigências de habilitação</w:t>
      </w:r>
    </w:p>
    <w:p w14:paraId="2A00DBFC" w14:textId="64DE5684" w:rsidR="006D5FA5" w:rsidRPr="00706EB4" w:rsidRDefault="006D5FA5" w:rsidP="006E4526">
      <w:pPr>
        <w:pStyle w:val="Nivel2"/>
      </w:pPr>
      <w:r w:rsidRPr="00706EB4">
        <w:t xml:space="preserve">Para fins de </w:t>
      </w:r>
      <w:r w:rsidRPr="006E4526">
        <w:t>habilitação</w:t>
      </w:r>
      <w:r w:rsidRPr="00706EB4">
        <w:t xml:space="preserve">, deverá o </w:t>
      </w:r>
      <w:r w:rsidR="00B71181">
        <w:t>proponente</w:t>
      </w:r>
      <w:r w:rsidRPr="00706EB4">
        <w:t xml:space="preserve"> comprovar os seguintes requisitos:</w:t>
      </w:r>
    </w:p>
    <w:p w14:paraId="3CAA058D" w14:textId="4DD7D552" w:rsidR="006D5FA5" w:rsidRDefault="006D5FA5" w:rsidP="007A5C07">
      <w:pPr>
        <w:pStyle w:val="Nvel1-SemNum"/>
        <w:spacing w:afterLines="120" w:after="288" w:line="312" w:lineRule="auto"/>
        <w:ind w:left="0" w:firstLine="567"/>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t>Habilitação jurídica</w:t>
      </w:r>
    </w:p>
    <w:p w14:paraId="0FF0A902" w14:textId="782EC038" w:rsidR="00F141DB" w:rsidRPr="00090511" w:rsidRDefault="00F141DB" w:rsidP="00F141DB">
      <w:pPr>
        <w:pStyle w:val="Notaexplicativa"/>
      </w:pPr>
      <w:r w:rsidRPr="047C3657">
        <w:rPr>
          <w:b/>
          <w:bCs/>
        </w:rPr>
        <w:t xml:space="preserve">Nota Explicativa: </w:t>
      </w:r>
      <w:r w:rsidRPr="047C3657">
        <w:t xml:space="preserve">Foram incluídas neste Termo de Referência as previsões referentes à habilitação jurídica, fiscal, social e trabalhista, haja vista que serão os requisitos mais usualmente fiscalizados durante a execução contratual, em geral. Como se trata de contratação por dispensa ou inexigibilidade de licitação, em que o contratado é escolhido diretamente, optou-se por não incluir requisitos de qualificação econômica ou habilitação técnica, por entender-se que a própria escolha já se incumbirá de eliminar contratantes com capacidade econômico-financeira ou técnica insuficientes. </w:t>
      </w:r>
    </w:p>
    <w:p w14:paraId="1E9072B1" w14:textId="06FE567D" w:rsidR="00F141DB" w:rsidRPr="004D5AC5" w:rsidRDefault="00F141DB" w:rsidP="00F141DB">
      <w:pPr>
        <w:pStyle w:val="Notaexplicativa"/>
      </w:pPr>
      <w:r w:rsidRPr="00090511">
        <w:rPr>
          <w:bCs/>
        </w:rPr>
        <w:t xml:space="preserve">Entretanto, se a Administração desejar incluir requisitos de habilitação econômico-financeira ou técnica, a </w:t>
      </w:r>
      <w:r w:rsidRPr="00CF0F30">
        <w:rPr>
          <w:bCs/>
        </w:rPr>
        <w:t>serem</w:t>
      </w:r>
      <w:r w:rsidRPr="00090511">
        <w:rPr>
          <w:bCs/>
        </w:rPr>
        <w:t xml:space="preserve"> fiscalizados no decorrer da execução contratual</w:t>
      </w:r>
      <w:r>
        <w:rPr>
          <w:bCs/>
        </w:rPr>
        <w:t xml:space="preserve"> (em especial se houver requisitos de ordem legal, como registro </w:t>
      </w:r>
      <w:r>
        <w:rPr>
          <w:bCs/>
        </w:rPr>
        <w:lastRenderedPageBreak/>
        <w:t>em órgãos governamentais competentes)</w:t>
      </w:r>
      <w:r w:rsidRPr="00090511">
        <w:rPr>
          <w:bCs/>
        </w:rPr>
        <w:t>, recomenda-se extrair os dispositivos respectivos deste modelo de Termo de Referência (habilitação técnica) e/ou do modelo de Aviso de Dispensa Eletrônica (habilitação econômico-financeira) constante</w:t>
      </w:r>
      <w:r w:rsidRPr="001C3889">
        <w:rPr>
          <w:bCs/>
        </w:rPr>
        <w:t xml:space="preserve"> </w:t>
      </w:r>
      <w:r>
        <w:rPr>
          <w:bCs/>
        </w:rPr>
        <w:t>na página</w:t>
      </w:r>
      <w:r w:rsidRPr="001C3889">
        <w:rPr>
          <w:bCs/>
        </w:rPr>
        <w:t xml:space="preserve"> </w:t>
      </w:r>
      <w:r>
        <w:rPr>
          <w:bCs/>
        </w:rPr>
        <w:t>PGM no</w:t>
      </w:r>
      <w:r w:rsidRPr="001C3889">
        <w:rPr>
          <w:bCs/>
        </w:rPr>
        <w:t xml:space="preserve"> sítio eletrônico</w:t>
      </w:r>
      <w:r>
        <w:rPr>
          <w:bCs/>
        </w:rPr>
        <w:t xml:space="preserve"> da Prefeitura Municipal de </w:t>
      </w:r>
      <w:r w:rsidR="005820DA">
        <w:rPr>
          <w:bCs/>
        </w:rPr>
        <w:t>Laranja da Terra</w:t>
      </w:r>
      <w:r w:rsidRPr="001C3889">
        <w:rPr>
          <w:bCs/>
        </w:rPr>
        <w:t>.</w:t>
      </w:r>
    </w:p>
    <w:p w14:paraId="61A3B4C2" w14:textId="43F84C77" w:rsidR="006D5FA5" w:rsidRPr="00706EB4" w:rsidRDefault="006D5FA5" w:rsidP="00E372D3">
      <w:pPr>
        <w:pStyle w:val="Nvel2-Red"/>
      </w:pPr>
      <w:bookmarkStart w:id="10" w:name="_Ref115800561"/>
      <w:r w:rsidRPr="00706EB4">
        <w:rPr>
          <w:b/>
          <w:bCs/>
        </w:rPr>
        <w:t>Pessoa física:</w:t>
      </w:r>
      <w:r w:rsidRPr="00706EB4">
        <w:t xml:space="preserve"> cédula de identidade (RG) ou documento equivalente que, por força de lei, tenha validade para fins de identificação em todo o território nacional;</w:t>
      </w:r>
      <w:bookmarkEnd w:id="10"/>
    </w:p>
    <w:p w14:paraId="62D1DF25" w14:textId="77777777" w:rsidR="00B84F6A" w:rsidRPr="00706EB4" w:rsidRDefault="00B84F6A" w:rsidP="00B84F6A">
      <w:pPr>
        <w:pStyle w:val="Notaexplicativa"/>
      </w:pPr>
      <w:r w:rsidRPr="00706EB4">
        <w:rPr>
          <w:b/>
          <w:bCs/>
        </w:rPr>
        <w:t>Nota Explicativa:</w:t>
      </w:r>
      <w:r w:rsidRPr="00706EB4">
        <w:t xml:space="preserve"> A Instrução Normativa </w:t>
      </w:r>
      <w:hyperlink r:id="rId31" w:history="1">
        <w:r w:rsidRPr="00706EB4">
          <w:rPr>
            <w:rStyle w:val="Hyperlink"/>
            <w:i w:val="0"/>
            <w:iCs w:val="0"/>
          </w:rPr>
          <w:t>SEGES/ME nº 116, de 21 de dezembro de 2021</w:t>
        </w:r>
      </w:hyperlink>
      <w:r w:rsidRPr="00706EB4">
        <w:t xml:space="preserve">, estabelece procedimentos para a participação de pessoa física nas contratações públicas regidas pela </w:t>
      </w:r>
      <w:hyperlink r:id="rId32" w:history="1">
        <w:r w:rsidRPr="00706EB4">
          <w:rPr>
            <w:rStyle w:val="Hyperlink"/>
            <w:i w:val="0"/>
            <w:iCs w:val="0"/>
          </w:rPr>
          <w:t>Lei nº 14.133, de 2021</w:t>
        </w:r>
      </w:hyperlink>
      <w:r w:rsidRPr="00706EB4">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286A6FA0" w14:textId="77777777" w:rsidR="00B84F6A" w:rsidRPr="00706EB4" w:rsidRDefault="00B84F6A" w:rsidP="00B84F6A">
      <w:pPr>
        <w:pStyle w:val="Notaexplicativa"/>
      </w:pPr>
      <w:r w:rsidRPr="00706EB4">
        <w:t xml:space="preserve">A </w:t>
      </w:r>
      <w:hyperlink r:id="rId33" w:history="1">
        <w:r w:rsidRPr="00706EB4">
          <w:rPr>
            <w:rStyle w:val="Hyperlink"/>
            <w:i w:val="0"/>
            <w:iCs w:val="0"/>
          </w:rPr>
          <w:t>IN SEGES/ME nº 116, de 2021</w:t>
        </w:r>
      </w:hyperlink>
      <w:r w:rsidRPr="00706EB4">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706EB4">
        <w:rPr>
          <w:b/>
          <w:bCs/>
        </w:rPr>
        <w:t>capital social mínimo</w:t>
      </w:r>
      <w:r w:rsidRPr="00706EB4">
        <w:t xml:space="preserve"> e </w:t>
      </w:r>
      <w:r w:rsidRPr="00706EB4">
        <w:rPr>
          <w:b/>
          <w:bCs/>
        </w:rPr>
        <w:t>estrutura mínima</w:t>
      </w:r>
      <w:r w:rsidRPr="00706EB4">
        <w:t xml:space="preserve">, com equipamentos, instalações e equipe de profissionais ou corpo técnico para a execução do objeto </w:t>
      </w:r>
      <w:r w:rsidRPr="00706EB4">
        <w:rPr>
          <w:b/>
          <w:bCs/>
        </w:rPr>
        <w:t>incompatíveis com a natureza profissional da pessoa física</w:t>
      </w:r>
      <w:r w:rsidRPr="00706EB4">
        <w:t xml:space="preserve">, conforme </w:t>
      </w:r>
      <w:r w:rsidRPr="00706EB4">
        <w:rPr>
          <w:b/>
          <w:bCs/>
        </w:rPr>
        <w:t>demonstrado em estudo técnico preliminar</w:t>
      </w:r>
      <w:r w:rsidRPr="00706EB4">
        <w:t xml:space="preserve">”. Portanto, a possibilidade, ou não, de contratação de pessoas físicas deverá ser objeto de prévia análise e manifestação técnica por parte do órgão contratante, na fase de planejamento da contratação. </w:t>
      </w:r>
    </w:p>
    <w:p w14:paraId="279A3AE3" w14:textId="55D80EF2" w:rsidR="00B84F6A" w:rsidRPr="00706EB4" w:rsidRDefault="00B84F6A" w:rsidP="00B84F6A">
      <w:pPr>
        <w:pStyle w:val="Notaexplicativa"/>
        <w:rPr>
          <w:rFonts w:asciiTheme="majorHAnsi" w:hAnsiTheme="majorHAnsi" w:cstheme="majorHAnsi"/>
        </w:rPr>
      </w:pPr>
      <w:r w:rsidRPr="00706EB4">
        <w:t xml:space="preserve">O </w:t>
      </w:r>
      <w:hyperlink r:id="rId34" w:history="1">
        <w:r w:rsidRPr="00706EB4">
          <w:rPr>
            <w:rStyle w:val="Hyperlink"/>
          </w:rPr>
          <w:t>Decreto nº 10.977, de 23 de fevereiro de 2022,</w:t>
        </w:r>
      </w:hyperlink>
      <w:r w:rsidRPr="00706EB4">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sidRPr="00706EB4">
        <w:rPr>
          <w:bCs/>
        </w:rPr>
        <w:t>caput</w:t>
      </w:r>
      <w:r w:rsidRPr="00706EB4">
        <w:rPr>
          <w:b/>
          <w:bCs/>
        </w:rPr>
        <w:t> </w:t>
      </w:r>
      <w:r w:rsidRPr="00706EB4">
        <w:t>do seu art. 11.</w:t>
      </w:r>
    </w:p>
    <w:p w14:paraId="3AC2B401" w14:textId="77777777" w:rsidR="006D5FA5" w:rsidRPr="00706EB4" w:rsidRDefault="006D5FA5" w:rsidP="00E372D3">
      <w:pPr>
        <w:pStyle w:val="Nvel2-Red"/>
      </w:pPr>
      <w:r w:rsidRPr="00706EB4">
        <w:rPr>
          <w:b/>
          <w:bCs/>
        </w:rPr>
        <w:t>Empresário individual:</w:t>
      </w:r>
      <w:r w:rsidRPr="00706EB4">
        <w:t xml:space="preserve"> inscrição no Registro Público </w:t>
      </w:r>
      <w:r w:rsidRPr="006E4526">
        <w:t>de</w:t>
      </w:r>
      <w:r w:rsidRPr="00706EB4">
        <w:t xml:space="preserve"> Empresas Mercantis, a cargo da Junta Comercial da respectiva sede; </w:t>
      </w:r>
    </w:p>
    <w:p w14:paraId="5A8057EA" w14:textId="718FF763" w:rsidR="006D5FA5" w:rsidRPr="00706EB4" w:rsidRDefault="006D5FA5" w:rsidP="00E372D3">
      <w:pPr>
        <w:pStyle w:val="Nvel2-Red"/>
      </w:pPr>
      <w:r w:rsidRPr="00706EB4">
        <w:rPr>
          <w:b/>
          <w:bCs/>
        </w:rPr>
        <w:t>Microempreendedor Individual - MEI:</w:t>
      </w:r>
      <w:r w:rsidRPr="00706EB4">
        <w:t xml:space="preserve"> Certificado da Condição de Microempreendedor Individual - CCMEI, cuja aceitação ficará condicionada à verificação da autenticidade no sítio </w:t>
      </w:r>
      <w:hyperlink r:id="rId35" w:history="1">
        <w:r w:rsidRPr="00706EB4">
          <w:rPr>
            <w:rStyle w:val="Hyperlink"/>
            <w:rFonts w:asciiTheme="majorHAnsi" w:hAnsiTheme="majorHAnsi" w:cstheme="majorHAnsi"/>
          </w:rPr>
          <w:t>https://www.gov.br/empresas-e-negocios/pt-br/empreendedor</w:t>
        </w:r>
      </w:hyperlink>
      <w:r w:rsidRPr="00706EB4">
        <w:t xml:space="preserve">; </w:t>
      </w:r>
    </w:p>
    <w:p w14:paraId="08B985C7" w14:textId="58DB143F" w:rsidR="006D5FA5" w:rsidRPr="00706EB4" w:rsidRDefault="006D5FA5" w:rsidP="00E372D3">
      <w:pPr>
        <w:pStyle w:val="Nvel2-Red"/>
      </w:pPr>
      <w:r w:rsidRPr="00E372D3">
        <w:rPr>
          <w:b/>
        </w:rPr>
        <w:t xml:space="preserve">Sociedade empresária, sociedade limitada unipessoal </w:t>
      </w:r>
      <w:r w:rsidR="00B84F6A" w:rsidRPr="00E372D3">
        <w:rPr>
          <w:b/>
        </w:rPr>
        <w:t>-</w:t>
      </w:r>
      <w:r w:rsidRPr="00E372D3">
        <w:rPr>
          <w:b/>
        </w:rPr>
        <w:t xml:space="preserve"> SLU ou sociedade identificada como empresa individual de responsabilidade limitada - EIRELI:</w:t>
      </w:r>
      <w:r w:rsidRPr="00706EB4">
        <w:t xml:space="preserve"> inscrição do ato constitutivo, estatuto ou contrato social no Registro Público de Empresas Mercantis, a cargo da Junta Comercial da respectiva sede, acompanhada de documento comprobatório de seus administradores;</w:t>
      </w:r>
    </w:p>
    <w:p w14:paraId="0032255D" w14:textId="77777777" w:rsidR="00B84F6A" w:rsidRPr="00706EB4" w:rsidRDefault="00B84F6A" w:rsidP="00B84F6A">
      <w:pPr>
        <w:pStyle w:val="Notaexplicativa"/>
      </w:pPr>
      <w:r w:rsidRPr="00706EB4">
        <w:rPr>
          <w:b/>
          <w:bCs/>
        </w:rPr>
        <w:t>Nota Explicativa</w:t>
      </w:r>
      <w:r w:rsidRPr="00706EB4">
        <w:t xml:space="preserve">: O </w:t>
      </w:r>
      <w:hyperlink r:id="rId36" w:history="1">
        <w:r w:rsidRPr="00706EB4">
          <w:rPr>
            <w:rStyle w:val="Hyperlink"/>
            <w:i w:val="0"/>
            <w:iCs w:val="0"/>
          </w:rPr>
          <w:t>art. 41 da Lei nº 14.195, de 26 de agosto de 2021</w:t>
        </w:r>
      </w:hyperlink>
      <w:r w:rsidRPr="00706EB4">
        <w:t>, transformou todas as empresas individuais de responsabilidade limitada (EIRELI) existentes na data da entrada em vigor da Lei em sociedades limitadas unipessoais (SLU), independentemente de qualquer alteração em seus respectivos atos constitutivos.</w:t>
      </w:r>
    </w:p>
    <w:p w14:paraId="1ED01D7B" w14:textId="77777777" w:rsidR="00B84F6A" w:rsidRPr="00706EB4" w:rsidRDefault="00B84F6A" w:rsidP="00B84F6A">
      <w:pPr>
        <w:pStyle w:val="Notaexplicativa"/>
      </w:pPr>
      <w:r w:rsidRPr="00706EB4">
        <w:t xml:space="preserve">Posteriormente, </w:t>
      </w:r>
      <w:hyperlink r:id="rId37" w:history="1">
        <w:r w:rsidRPr="00706EB4">
          <w:rPr>
            <w:rStyle w:val="Hyperlink"/>
            <w:i w:val="0"/>
            <w:iCs w:val="0"/>
          </w:rPr>
          <w:t>o inciso VI, alíneas “a” e “b”, art. 20, da Lei nº 14.382, de 27 de junho de 2022</w:t>
        </w:r>
      </w:hyperlink>
      <w:r w:rsidRPr="00706EB4">
        <w:t>, revogou as disposições sobre EIRELI constantes do inciso VI do caput do art. 44 e do Título I-A do Livro II da Parte Especial do Código Civil (</w:t>
      </w:r>
      <w:hyperlink r:id="rId38" w:history="1">
        <w:r w:rsidRPr="00706EB4">
          <w:rPr>
            <w:rStyle w:val="Hyperlink"/>
            <w:i w:val="0"/>
            <w:iCs w:val="0"/>
          </w:rPr>
          <w:t>Lei nº 10.406, de 10 de janeiro de 2002</w:t>
        </w:r>
      </w:hyperlink>
      <w:r w:rsidRPr="00706EB4">
        <w:t>).</w:t>
      </w:r>
    </w:p>
    <w:p w14:paraId="5BCA6FDC" w14:textId="4A152F32" w:rsidR="00B84F6A" w:rsidRPr="00706EB4" w:rsidRDefault="00B84F6A" w:rsidP="00B84F6A">
      <w:pPr>
        <w:pStyle w:val="Notaexplicativa"/>
        <w:rPr>
          <w:rFonts w:asciiTheme="majorHAnsi" w:hAnsiTheme="majorHAnsi" w:cstheme="majorHAnsi"/>
        </w:rPr>
      </w:pPr>
      <w:r w:rsidRPr="00706EB4">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5DA40C7D" w14:textId="5CC22E22" w:rsidR="006D5FA5" w:rsidRPr="00706EB4" w:rsidRDefault="006D5FA5" w:rsidP="00E372D3">
      <w:pPr>
        <w:pStyle w:val="Nvel2-Red"/>
      </w:pPr>
      <w:r w:rsidRPr="00706EB4">
        <w:rPr>
          <w:b/>
          <w:bCs/>
        </w:rPr>
        <w:t>Sociedade empresária estrangeira:</w:t>
      </w:r>
      <w:r w:rsidRPr="00706EB4">
        <w:t xml:space="preserve"> portaria de autorização de funcionamento no Brasil, publicada no Diário Oficial da União e arquivada na </w:t>
      </w:r>
      <w:r w:rsidRPr="006E4526">
        <w:t>Junta</w:t>
      </w:r>
      <w:r w:rsidRPr="00706EB4">
        <w:t xml:space="preserve"> Comercial da unidade federativa onde se localizar a filial, agência, </w:t>
      </w:r>
      <w:r w:rsidRPr="00706EB4">
        <w:lastRenderedPageBreak/>
        <w:t xml:space="preserve">sucursal ou estabelecimento, a qual será considerada como sua sede, conforme </w:t>
      </w:r>
      <w:hyperlink r:id="rId39" w:history="1">
        <w:r w:rsidR="00B84F6A" w:rsidRPr="00706EB4">
          <w:rPr>
            <w:rStyle w:val="Hyperlink"/>
            <w:rFonts w:asciiTheme="majorHAnsi" w:hAnsiTheme="majorHAnsi" w:cstheme="majorHAnsi"/>
          </w:rPr>
          <w:t>Instrução N</w:t>
        </w:r>
        <w:r w:rsidRPr="00706EB4">
          <w:rPr>
            <w:rStyle w:val="Hyperlink"/>
            <w:rFonts w:asciiTheme="majorHAnsi" w:hAnsiTheme="majorHAnsi" w:cstheme="majorHAnsi"/>
          </w:rPr>
          <w:t>ormativa DREI/ME nº 77, de 18 de março de 2020</w:t>
        </w:r>
      </w:hyperlink>
      <w:r w:rsidRPr="00706EB4">
        <w:t>.</w:t>
      </w:r>
    </w:p>
    <w:p w14:paraId="797FF824" w14:textId="77777777" w:rsidR="006D5FA5" w:rsidRPr="00706EB4" w:rsidRDefault="006D5FA5" w:rsidP="00E372D3">
      <w:pPr>
        <w:pStyle w:val="Nvel2-Red"/>
      </w:pPr>
      <w:r w:rsidRPr="00706EB4">
        <w:rPr>
          <w:b/>
          <w:bCs/>
        </w:rPr>
        <w:t xml:space="preserve">Sociedade simples: </w:t>
      </w:r>
      <w:r w:rsidRPr="00706EB4">
        <w:t>inscrição do ato constitutivo no Registro Civil de Pessoas Jurídicas do local de sua sede, acompanhada de documento comprobatório de seus administradores;</w:t>
      </w:r>
    </w:p>
    <w:p w14:paraId="37506265" w14:textId="77777777" w:rsidR="006D5FA5" w:rsidRPr="00706EB4" w:rsidRDefault="006D5FA5" w:rsidP="006E4526">
      <w:pPr>
        <w:pStyle w:val="Nivel2"/>
      </w:pPr>
      <w:r w:rsidRPr="00706EB4">
        <w:t xml:space="preserve">Os documentos </w:t>
      </w:r>
      <w:r w:rsidRPr="006E4526">
        <w:t>apresentados</w:t>
      </w:r>
      <w:r w:rsidRPr="00706EB4">
        <w:t xml:space="preserve"> deverão estar acompanhados de todas as alterações ou da consolidação respectiva.</w:t>
      </w:r>
    </w:p>
    <w:p w14:paraId="21DB9363" w14:textId="77777777" w:rsidR="006D5FA5" w:rsidRPr="00706EB4" w:rsidRDefault="006D5FA5" w:rsidP="003878C9">
      <w:pPr>
        <w:pStyle w:val="Nvel1-SemNum"/>
        <w:spacing w:afterLines="120" w:after="288" w:line="312" w:lineRule="auto"/>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t>Habilitação fiscal, social e trabalhista</w:t>
      </w:r>
    </w:p>
    <w:p w14:paraId="7FB1F682" w14:textId="77777777" w:rsidR="006D5FA5" w:rsidRPr="00706EB4" w:rsidRDefault="006D5FA5" w:rsidP="006E4526">
      <w:pPr>
        <w:pStyle w:val="Nivel2"/>
      </w:pPr>
      <w:r w:rsidRPr="00706EB4">
        <w:t>Prova de inscrição no Cadastro Nacional de Pessoas Jurídicas ou no Cadastro de Pessoas Físicas, conforme o caso;</w:t>
      </w:r>
    </w:p>
    <w:p w14:paraId="694AC63F" w14:textId="30812B3A" w:rsidR="006D5FA5" w:rsidRPr="00706EB4" w:rsidRDefault="006D5FA5" w:rsidP="006E4526">
      <w:pPr>
        <w:pStyle w:val="Nivel2"/>
      </w:pPr>
      <w:r w:rsidRPr="00706EB4">
        <w:t xml:space="preserve">Prova de regularidade fiscal perante a Fazenda Nacional, mediante apresentação de certidão expedida conjuntamente pela Secretaria da Receita Federal do Brasil (RFB) e pela Procuradoria-Geral da Fazenda Nacional (PGFN), </w:t>
      </w:r>
      <w:r w:rsidRPr="006E4526">
        <w:t>referente</w:t>
      </w:r>
      <w:r w:rsidRPr="00706EB4">
        <w:t xml:space="preserve"> a todos os créditos tributários federais e à Dívida Ativa da União (DAU) por elas administrados, inclusive aqueles relativos à Seguridade Social, nos termos da </w:t>
      </w:r>
      <w:hyperlink r:id="rId40" w:history="1">
        <w:r w:rsidR="00E372D3" w:rsidRPr="009F2EA1">
          <w:rPr>
            <w:rStyle w:val="Hyperlink"/>
            <w:rFonts w:asciiTheme="majorHAnsi" w:hAnsiTheme="majorHAnsi" w:cstheme="majorHAnsi"/>
          </w:rPr>
          <w:t>Portaria Conjunta nº 1.751, de 02 de outubro de 2014</w:t>
        </w:r>
      </w:hyperlink>
      <w:r w:rsidRPr="00706EB4">
        <w:t xml:space="preserve">, do Secretário da Receita </w:t>
      </w:r>
      <w:r w:rsidRPr="006E4526">
        <w:t>Federal</w:t>
      </w:r>
      <w:r w:rsidRPr="00706EB4">
        <w:t xml:space="preserve"> do Brasil e da Procuradora-Geral da Fazenda Nacional.</w:t>
      </w:r>
    </w:p>
    <w:p w14:paraId="74A443D0" w14:textId="77777777" w:rsidR="006D5FA5" w:rsidRPr="00706EB4" w:rsidRDefault="006D5FA5" w:rsidP="006E4526">
      <w:pPr>
        <w:pStyle w:val="Nivel2"/>
      </w:pPr>
      <w:r w:rsidRPr="00706EB4">
        <w:t xml:space="preserve">Prova de regularidade com o </w:t>
      </w:r>
      <w:r w:rsidRPr="006E4526">
        <w:t>Fundo</w:t>
      </w:r>
      <w:r w:rsidRPr="00706EB4">
        <w:t xml:space="preserve"> de Garantia do Tempo de Serviço (FGTS);</w:t>
      </w:r>
    </w:p>
    <w:p w14:paraId="5CCA761A" w14:textId="04EF5BD8" w:rsidR="006D5FA5" w:rsidRPr="00706EB4" w:rsidRDefault="006D5FA5" w:rsidP="006E4526">
      <w:pPr>
        <w:pStyle w:val="Nivel2"/>
      </w:pPr>
      <w:r w:rsidRPr="00706EB4">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41" w:history="1">
        <w:r w:rsidRPr="00E372D3">
          <w:rPr>
            <w:rStyle w:val="Hyperlink"/>
          </w:rPr>
          <w:t>Decreto-Lei nº 5.452, de 1º de maio de 1943</w:t>
        </w:r>
      </w:hyperlink>
      <w:r w:rsidRPr="00706EB4">
        <w:t>;</w:t>
      </w:r>
    </w:p>
    <w:p w14:paraId="5E21A0E1" w14:textId="20D69F06" w:rsidR="006D5FA5" w:rsidRPr="00706EB4" w:rsidRDefault="006D5FA5" w:rsidP="006E4526">
      <w:pPr>
        <w:pStyle w:val="Nivel2"/>
      </w:pPr>
      <w:r w:rsidRPr="00706EB4">
        <w:t xml:space="preserve">Prova de inscrição no cadastro de contribuintes </w:t>
      </w:r>
      <w:r w:rsidRPr="00706EB4">
        <w:rPr>
          <w:i/>
          <w:iCs/>
          <w:color w:val="FF0000"/>
        </w:rPr>
        <w:t>[Estadual/Distrital]</w:t>
      </w:r>
      <w:r w:rsidRPr="00706EB4">
        <w:rPr>
          <w:color w:val="FF0000"/>
        </w:rPr>
        <w:t xml:space="preserve"> ou </w:t>
      </w:r>
      <w:r w:rsidRPr="00706EB4">
        <w:rPr>
          <w:i/>
          <w:iCs/>
          <w:color w:val="FF0000"/>
        </w:rPr>
        <w:t>[Municipal/Distrital]</w:t>
      </w:r>
      <w:r w:rsidRPr="00706EB4">
        <w:rPr>
          <w:color w:val="FF0000"/>
        </w:rPr>
        <w:t xml:space="preserve"> </w:t>
      </w:r>
      <w:r w:rsidRPr="00706EB4">
        <w:t xml:space="preserve">relativo ao domicílio ou sede do </w:t>
      </w:r>
      <w:r w:rsidR="00E168C6">
        <w:t>proponente</w:t>
      </w:r>
      <w:r w:rsidRPr="00706EB4">
        <w:t xml:space="preserve">, pertinente ao seu ramo de atividade e compatível com o objeto contratual; </w:t>
      </w:r>
    </w:p>
    <w:p w14:paraId="4B25C4FC" w14:textId="79E74FFA" w:rsidR="006D5FA5" w:rsidRPr="00706EB4" w:rsidRDefault="006D5FA5" w:rsidP="006E4526">
      <w:pPr>
        <w:pStyle w:val="Nivel2"/>
      </w:pPr>
      <w:r w:rsidRPr="00706EB4">
        <w:t xml:space="preserve">Prova de </w:t>
      </w:r>
      <w:r w:rsidRPr="006E4526">
        <w:t>regularidade</w:t>
      </w:r>
      <w:r w:rsidRPr="00706EB4">
        <w:t xml:space="preserve"> com a Fazenda </w:t>
      </w:r>
      <w:r w:rsidRPr="00706EB4">
        <w:rPr>
          <w:i/>
          <w:iCs/>
          <w:color w:val="FF0000"/>
        </w:rPr>
        <w:t>[Estadual/Distrital] ou [Municipal/Distrital]</w:t>
      </w:r>
      <w:r w:rsidRPr="00706EB4">
        <w:rPr>
          <w:color w:val="FF0000"/>
        </w:rPr>
        <w:t xml:space="preserve"> </w:t>
      </w:r>
      <w:r w:rsidRPr="00706EB4">
        <w:t xml:space="preserve">do domicílio ou sede do </w:t>
      </w:r>
      <w:r w:rsidR="00E168C6">
        <w:t>proponente</w:t>
      </w:r>
      <w:r w:rsidRPr="00706EB4">
        <w:t>, relativa à atividade em cujo exercício contrata ou concorre;</w:t>
      </w:r>
    </w:p>
    <w:p w14:paraId="1AB05E19" w14:textId="1B1E872A" w:rsidR="00B84F6A" w:rsidRPr="00706EB4" w:rsidRDefault="00B84F6A" w:rsidP="00B84F6A">
      <w:pPr>
        <w:pStyle w:val="Notaexplicativa"/>
        <w:rPr>
          <w:rFonts w:asciiTheme="majorHAnsi" w:hAnsiTheme="majorHAnsi" w:cstheme="majorHAnsi"/>
        </w:rPr>
      </w:pPr>
      <w:r w:rsidRPr="00706EB4">
        <w:rPr>
          <w:b/>
          <w:bCs/>
        </w:rPr>
        <w:t>Nota Explicativa:</w:t>
      </w:r>
      <w:r w:rsidRPr="00706EB4">
        <w:t xml:space="preserve"> O art. 193 do Código Tributário Nacional (</w:t>
      </w:r>
      <w:hyperlink r:id="rId42" w:history="1">
        <w:r w:rsidRPr="00706EB4">
          <w:rPr>
            <w:rStyle w:val="Hyperlink"/>
            <w:i w:val="0"/>
            <w:iCs w:val="0"/>
          </w:rPr>
          <w:t>Lei nº 5.172, de 25 de outubro de 1966</w:t>
        </w:r>
      </w:hyperlink>
      <w:r w:rsidRPr="00706EB4">
        <w:t xml:space="preserve">) preceitua que a prova da quitação de todos os tributos devidos dar-se-á no âmbito da Fazenda Pública interessada, “relativos à atividade em cujo exercício contrata ou concorre”. Nessa mesma linha, </w:t>
      </w:r>
      <w:hyperlink r:id="rId43" w:history="1">
        <w:r w:rsidRPr="00706EB4">
          <w:rPr>
            <w:rStyle w:val="Hyperlink"/>
            <w:i w:val="0"/>
            <w:iCs w:val="0"/>
          </w:rPr>
          <w:t>o art. 68, II da Lei nº 14.133, de 2021</w:t>
        </w:r>
      </w:hyperlink>
      <w:r w:rsidRPr="00706EB4">
        <w:t xml:space="preserve">, estabelece a exigência de “inscrição no cadastro de contribuintes estadual e/ou municipal, se houver, relativo ao domicílio ou sede do </w:t>
      </w:r>
      <w:r w:rsidR="00CF6FAE">
        <w:t>contratado</w:t>
      </w:r>
      <w:r w:rsidRPr="00706EB4">
        <w:t>,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p w14:paraId="255A41F8" w14:textId="468E99AA" w:rsidR="004D4F13" w:rsidRPr="00706EB4" w:rsidRDefault="006D5FA5" w:rsidP="004D4F13">
      <w:pPr>
        <w:pStyle w:val="Nivel2"/>
      </w:pPr>
      <w:r w:rsidRPr="00706EB4">
        <w:t xml:space="preserve">Caso o </w:t>
      </w:r>
      <w:r w:rsidR="00E168C6">
        <w:t>proponente</w:t>
      </w:r>
      <w:r w:rsidRPr="00706EB4">
        <w:t xml:space="preserve"> </w:t>
      </w:r>
      <w:r w:rsidR="004D4F13" w:rsidRPr="00706EB4">
        <w:t>seja considerado isento dos tributos</w:t>
      </w:r>
      <w:r w:rsidR="004D4F13" w:rsidRPr="00706EB4">
        <w:rPr>
          <w:color w:val="FF0000"/>
        </w:rPr>
        <w:t xml:space="preserve"> </w:t>
      </w:r>
      <w:r w:rsidR="004D4F13" w:rsidRPr="00706EB4">
        <w:rPr>
          <w:i/>
          <w:iCs/>
          <w:color w:val="FF0000"/>
        </w:rPr>
        <w:t>[Estadual/Distrital] ou [Municipal/Distrital]</w:t>
      </w:r>
      <w:r w:rsidR="004D4F13" w:rsidRPr="00706EB4">
        <w:rPr>
          <w:color w:val="FF0000"/>
        </w:rPr>
        <w:t xml:space="preserve"> </w:t>
      </w:r>
      <w:r w:rsidR="004D4F13" w:rsidRPr="00706EB4">
        <w:t xml:space="preserve">relacionados ao objeto </w:t>
      </w:r>
      <w:r w:rsidR="004D4F13" w:rsidRPr="006E4526">
        <w:t>contratual</w:t>
      </w:r>
      <w:r w:rsidR="004D4F13" w:rsidRPr="00706EB4">
        <w:t>, deverá comprovar tal condição mediante a apresentação de declaração da Fazenda respectiva do seu domicílio ou sede, ou outra equivalente, na forma da lei.</w:t>
      </w:r>
    </w:p>
    <w:p w14:paraId="63D67802" w14:textId="32FE7FF9" w:rsidR="006D5FA5" w:rsidRPr="00706EB4" w:rsidRDefault="006D5FA5" w:rsidP="006E4526">
      <w:pPr>
        <w:pStyle w:val="Nivel2"/>
      </w:pPr>
      <w:r w:rsidRPr="00706EB4">
        <w:t xml:space="preserve">O </w:t>
      </w:r>
      <w:r w:rsidR="00E168C6">
        <w:t>proponente</w:t>
      </w:r>
      <w:r w:rsidRPr="00706EB4">
        <w:t xml:space="preserve"> enquadrado como microempreendedor individual que pretenda auferir os benefícios do tratamento diferenciado previstos na </w:t>
      </w:r>
      <w:hyperlink r:id="rId44" w:history="1">
        <w:r w:rsidRPr="00E372D3">
          <w:rPr>
            <w:rStyle w:val="Hyperlink"/>
          </w:rPr>
          <w:t>Lei Complementar n</w:t>
        </w:r>
        <w:r w:rsidR="00647843" w:rsidRPr="00E372D3">
          <w:rPr>
            <w:rStyle w:val="Hyperlink"/>
          </w:rPr>
          <w:t>º</w:t>
        </w:r>
        <w:r w:rsidRPr="00E372D3">
          <w:rPr>
            <w:rStyle w:val="Hyperlink"/>
          </w:rPr>
          <w:t xml:space="preserve"> 123, de 2006</w:t>
        </w:r>
      </w:hyperlink>
      <w:r w:rsidRPr="00706EB4">
        <w:t>, estará dispensado da prova de inscrição nos cadastros de contribuintes estadual e municipal.</w:t>
      </w:r>
    </w:p>
    <w:p w14:paraId="6245F1E8" w14:textId="043502F4" w:rsidR="00413352" w:rsidRPr="00706EB4" w:rsidRDefault="00413352" w:rsidP="00413352">
      <w:pPr>
        <w:pStyle w:val="Notaexplicativa"/>
        <w:rPr>
          <w:rFonts w:asciiTheme="majorHAnsi" w:hAnsiTheme="majorHAnsi" w:cstheme="majorHAnsi"/>
        </w:rPr>
      </w:pPr>
      <w:r w:rsidRPr="00706EB4">
        <w:rPr>
          <w:b/>
          <w:bCs/>
        </w:rPr>
        <w:lastRenderedPageBreak/>
        <w:t>Nota Explicativa:</w:t>
      </w:r>
      <w:r w:rsidRPr="00706EB4">
        <w:t xml:space="preserve"> A apresentação do Certificado de Condição de Microempreendedor Individual - CCMEI supre as exigências de inscrição nos cadastros fiscais, na medida em que essas informações constam no próprio Certificado.</w:t>
      </w:r>
    </w:p>
    <w:p w14:paraId="2DFFCCF7" w14:textId="7EBE63E1" w:rsidR="006D5FA5" w:rsidRPr="00706EB4" w:rsidRDefault="006D5FA5" w:rsidP="00253298">
      <w:pPr>
        <w:pStyle w:val="Nivel01"/>
      </w:pPr>
      <w:r w:rsidRPr="00706EB4">
        <w:t xml:space="preserve">ESTIMATIVAS DO </w:t>
      </w:r>
      <w:r w:rsidRPr="00253298">
        <w:t>VALOR</w:t>
      </w:r>
      <w:r w:rsidRPr="00706EB4">
        <w:t xml:space="preserve"> DA CONTRATAÇÃO</w:t>
      </w:r>
    </w:p>
    <w:p w14:paraId="4E65C449" w14:textId="39AC45BE" w:rsidR="009A25FE" w:rsidRPr="00C03966" w:rsidRDefault="009A25FE" w:rsidP="009A25FE">
      <w:pPr>
        <w:pStyle w:val="Nivel2"/>
        <w:rPr>
          <w:rFonts w:asciiTheme="majorHAnsi" w:hAnsiTheme="majorHAnsi" w:cstheme="majorHAnsi"/>
        </w:rPr>
      </w:pPr>
      <w:bookmarkStart w:id="11" w:name="_Ref127350888"/>
      <w:r w:rsidRPr="00C03966">
        <w:rPr>
          <w:rFonts w:asciiTheme="majorHAnsi" w:hAnsiTheme="majorHAnsi" w:cstheme="majorHAnsi"/>
          <w:iCs/>
        </w:rPr>
        <w:t>O custo estimado total da contratação é de</w:t>
      </w:r>
      <w:r w:rsidRPr="00C03966">
        <w:rPr>
          <w:rFonts w:asciiTheme="majorHAnsi" w:hAnsiTheme="majorHAnsi" w:cstheme="majorHAnsi"/>
          <w:i/>
          <w:color w:val="FF0000"/>
        </w:rPr>
        <w:t xml:space="preserve"> </w:t>
      </w:r>
      <w:r w:rsidRPr="00C03966">
        <w:rPr>
          <w:rFonts w:asciiTheme="majorHAnsi" w:hAnsiTheme="majorHAnsi" w:cstheme="majorHAnsi"/>
        </w:rPr>
        <w:t>R$</w:t>
      </w:r>
      <w:r w:rsidRPr="00C03966">
        <w:rPr>
          <w:rFonts w:asciiTheme="majorHAnsi" w:hAnsiTheme="majorHAnsi" w:cstheme="majorHAnsi"/>
          <w:i/>
          <w:color w:val="FF0000"/>
        </w:rPr>
        <w:t xml:space="preserve"> </w:t>
      </w:r>
      <w:r w:rsidRPr="00C03966">
        <w:rPr>
          <w:rStyle w:val="Nvel2-RedChar"/>
          <w:rFonts w:asciiTheme="majorHAnsi" w:hAnsiTheme="majorHAnsi" w:cstheme="majorHAnsi"/>
        </w:rPr>
        <w:t>... (por extenso)</w:t>
      </w:r>
      <w:r w:rsidR="00E168C6">
        <w:rPr>
          <w:rFonts w:asciiTheme="majorHAnsi" w:hAnsiTheme="majorHAnsi" w:cstheme="majorHAnsi"/>
          <w:iCs/>
        </w:rPr>
        <w:t>, c</w:t>
      </w:r>
      <w:r w:rsidRPr="00C03966">
        <w:rPr>
          <w:rFonts w:asciiTheme="majorHAnsi" w:hAnsiTheme="majorHAnsi" w:cstheme="majorHAnsi"/>
          <w:iCs/>
        </w:rPr>
        <w:t xml:space="preserve">onforme </w:t>
      </w:r>
      <w:r w:rsidR="00E168C6">
        <w:rPr>
          <w:rFonts w:asciiTheme="majorHAnsi" w:hAnsiTheme="majorHAnsi" w:cstheme="majorHAnsi"/>
          <w:iCs/>
        </w:rPr>
        <w:t>laudo de avaliação anexo</w:t>
      </w:r>
      <w:r w:rsidRPr="00C03966">
        <w:rPr>
          <w:rFonts w:asciiTheme="majorHAnsi" w:hAnsiTheme="majorHAnsi" w:cstheme="majorHAnsi"/>
        </w:rPr>
        <w:t>.</w:t>
      </w:r>
    </w:p>
    <w:p w14:paraId="312806D4" w14:textId="68AE060B" w:rsidR="009A25FE" w:rsidRDefault="009A25FE" w:rsidP="009A25FE">
      <w:pPr>
        <w:pStyle w:val="Notaexplicativa"/>
      </w:pPr>
      <w:r>
        <w:rPr>
          <w:b/>
        </w:rPr>
        <w:t>Nota Explicativa</w:t>
      </w:r>
      <w:r w:rsidR="004E47F8">
        <w:rPr>
          <w:b/>
        </w:rPr>
        <w:t xml:space="preserve"> 1</w:t>
      </w:r>
      <w:r>
        <w:rPr>
          <w:b/>
        </w:rPr>
        <w:t xml:space="preserve">: </w:t>
      </w:r>
      <w:r w:rsidR="007A2931">
        <w:t>A estimativa do valor nas aquisições e locações de imóveis será a avaliação prévia do bem.</w:t>
      </w:r>
    </w:p>
    <w:p w14:paraId="772AB52D" w14:textId="374CC2C0" w:rsidR="004E47F8" w:rsidRPr="004E47F8" w:rsidRDefault="004E47F8" w:rsidP="009A25FE">
      <w:pPr>
        <w:pStyle w:val="Notaexplicativa"/>
      </w:pPr>
      <w:r>
        <w:rPr>
          <w:b/>
          <w:bCs/>
        </w:rPr>
        <w:t xml:space="preserve">Nota Explicativa 2: </w:t>
      </w:r>
      <w:r>
        <w:t>O laudo de avaliação dever seguir as novas ABNT-</w:t>
      </w:r>
      <w:r w:rsidRPr="004E47F8">
        <w:t>NBR 14653</w:t>
      </w:r>
      <w:r>
        <w:t>.</w:t>
      </w:r>
    </w:p>
    <w:bookmarkEnd w:id="11"/>
    <w:p w14:paraId="213BF857" w14:textId="77777777" w:rsidR="006D5FA5" w:rsidRPr="00706EB4" w:rsidRDefault="006D5FA5" w:rsidP="00253298">
      <w:pPr>
        <w:pStyle w:val="Nivel01"/>
      </w:pPr>
      <w:r w:rsidRPr="00253298">
        <w:t>ADEQUAÇÃO</w:t>
      </w:r>
      <w:r w:rsidRPr="00706EB4">
        <w:t xml:space="preserve"> ORÇAMENTÁRIA</w:t>
      </w:r>
    </w:p>
    <w:p w14:paraId="14B2DDDA" w14:textId="6D3C7AB8" w:rsidR="006D5FA5" w:rsidRPr="00706EB4" w:rsidRDefault="006D5FA5" w:rsidP="00253298">
      <w:pPr>
        <w:pStyle w:val="Nivel2"/>
      </w:pPr>
      <w:r w:rsidRPr="00706EB4">
        <w:t xml:space="preserve">As </w:t>
      </w:r>
      <w:r w:rsidRPr="00253298">
        <w:t>despesas</w:t>
      </w:r>
      <w:r w:rsidRPr="00706EB4">
        <w:t xml:space="preserve"> decorrentes da presente contratação correrão à conta de recursos específicos consignados no Orçamento Geral </w:t>
      </w:r>
      <w:r w:rsidR="00B45534" w:rsidRPr="00706EB4">
        <w:t xml:space="preserve">do Município de </w:t>
      </w:r>
      <w:r w:rsidR="005820DA">
        <w:t>Laranja da Terra.</w:t>
      </w:r>
    </w:p>
    <w:p w14:paraId="2CF5A92C" w14:textId="77777777" w:rsidR="006D5FA5" w:rsidRPr="00706EB4" w:rsidRDefault="006D5FA5" w:rsidP="00253298">
      <w:pPr>
        <w:pStyle w:val="Nivel2"/>
      </w:pPr>
      <w:r w:rsidRPr="00706EB4">
        <w:t xml:space="preserve">A </w:t>
      </w:r>
      <w:r w:rsidRPr="00253298">
        <w:t>contratação</w:t>
      </w:r>
      <w:r w:rsidRPr="00706EB4">
        <w:t xml:space="preserve"> será atendida pela seguinte dotação:</w:t>
      </w:r>
    </w:p>
    <w:p w14:paraId="3D4D7264" w14:textId="77777777" w:rsidR="009C5020" w:rsidRPr="007A2931" w:rsidRDefault="009C5020" w:rsidP="00965593">
      <w:pPr>
        <w:spacing w:line="312" w:lineRule="auto"/>
        <w:ind w:left="1134"/>
        <w:jc w:val="both"/>
        <w:rPr>
          <w:rFonts w:asciiTheme="majorHAnsi" w:eastAsia="Arial" w:hAnsiTheme="majorHAnsi" w:cstheme="majorHAnsi"/>
          <w:sz w:val="20"/>
          <w:szCs w:val="20"/>
        </w:rPr>
      </w:pPr>
      <w:r w:rsidRPr="007A2931">
        <w:rPr>
          <w:rFonts w:asciiTheme="majorHAnsi" w:eastAsia="Arial" w:hAnsiTheme="majorHAnsi" w:cstheme="majorHAnsi"/>
          <w:sz w:val="20"/>
          <w:szCs w:val="20"/>
        </w:rPr>
        <w:t xml:space="preserve">Órgão: </w:t>
      </w:r>
      <w:r w:rsidRPr="007A2931">
        <w:rPr>
          <w:rFonts w:asciiTheme="majorHAnsi" w:eastAsia="Arial" w:hAnsiTheme="majorHAnsi" w:cstheme="majorHAnsi"/>
          <w:color w:val="FF0000"/>
          <w:sz w:val="20"/>
          <w:szCs w:val="20"/>
        </w:rPr>
        <w:t>[...]</w:t>
      </w:r>
      <w:r w:rsidRPr="007A2931">
        <w:rPr>
          <w:rFonts w:asciiTheme="majorHAnsi" w:eastAsia="Arial" w:hAnsiTheme="majorHAnsi" w:cstheme="majorHAnsi"/>
          <w:sz w:val="20"/>
          <w:szCs w:val="20"/>
        </w:rPr>
        <w:t>;</w:t>
      </w:r>
    </w:p>
    <w:p w14:paraId="5F2A3BD2" w14:textId="77777777" w:rsidR="009C5020" w:rsidRPr="007A2931" w:rsidRDefault="009C5020" w:rsidP="00965593">
      <w:pPr>
        <w:spacing w:line="312" w:lineRule="auto"/>
        <w:ind w:left="1134"/>
        <w:jc w:val="both"/>
        <w:rPr>
          <w:rFonts w:asciiTheme="majorHAnsi" w:eastAsia="Arial" w:hAnsiTheme="majorHAnsi" w:cstheme="majorHAnsi"/>
          <w:sz w:val="20"/>
          <w:szCs w:val="20"/>
        </w:rPr>
      </w:pPr>
      <w:r w:rsidRPr="007A2931">
        <w:rPr>
          <w:rFonts w:asciiTheme="majorHAnsi" w:eastAsia="Arial" w:hAnsiTheme="majorHAnsi" w:cstheme="majorHAnsi"/>
          <w:sz w:val="20"/>
          <w:szCs w:val="20"/>
        </w:rPr>
        <w:t xml:space="preserve">Unidade Orçamentária: </w:t>
      </w:r>
      <w:r w:rsidRPr="007A2931">
        <w:rPr>
          <w:rFonts w:asciiTheme="majorHAnsi" w:eastAsia="Arial" w:hAnsiTheme="majorHAnsi" w:cstheme="majorHAnsi"/>
          <w:color w:val="FF0000"/>
          <w:sz w:val="20"/>
          <w:szCs w:val="20"/>
        </w:rPr>
        <w:t>[...]</w:t>
      </w:r>
      <w:r w:rsidRPr="007A2931">
        <w:rPr>
          <w:rFonts w:asciiTheme="majorHAnsi" w:eastAsia="Arial" w:hAnsiTheme="majorHAnsi" w:cstheme="majorHAnsi"/>
          <w:sz w:val="20"/>
          <w:szCs w:val="20"/>
        </w:rPr>
        <w:t>;</w:t>
      </w:r>
    </w:p>
    <w:p w14:paraId="7245CACB" w14:textId="77777777" w:rsidR="009C5020" w:rsidRPr="007A2931" w:rsidRDefault="009C5020" w:rsidP="00965593">
      <w:pPr>
        <w:spacing w:line="312" w:lineRule="auto"/>
        <w:ind w:left="1134"/>
        <w:jc w:val="both"/>
        <w:rPr>
          <w:rFonts w:asciiTheme="majorHAnsi" w:eastAsia="Arial" w:hAnsiTheme="majorHAnsi" w:cstheme="majorHAnsi"/>
          <w:sz w:val="20"/>
          <w:szCs w:val="20"/>
        </w:rPr>
      </w:pPr>
      <w:r w:rsidRPr="007A2931">
        <w:rPr>
          <w:rFonts w:asciiTheme="majorHAnsi" w:eastAsia="Arial" w:hAnsiTheme="majorHAnsi" w:cstheme="majorHAnsi"/>
          <w:sz w:val="20"/>
          <w:szCs w:val="20"/>
        </w:rPr>
        <w:t xml:space="preserve">Programa: </w:t>
      </w:r>
      <w:r w:rsidRPr="007A2931">
        <w:rPr>
          <w:rFonts w:asciiTheme="majorHAnsi" w:eastAsia="Arial" w:hAnsiTheme="majorHAnsi" w:cstheme="majorHAnsi"/>
          <w:color w:val="FF0000"/>
          <w:sz w:val="20"/>
          <w:szCs w:val="20"/>
        </w:rPr>
        <w:t>[...]</w:t>
      </w:r>
      <w:r w:rsidRPr="007A2931">
        <w:rPr>
          <w:rFonts w:asciiTheme="majorHAnsi" w:eastAsia="Arial" w:hAnsiTheme="majorHAnsi" w:cstheme="majorHAnsi"/>
          <w:sz w:val="20"/>
          <w:szCs w:val="20"/>
        </w:rPr>
        <w:t>;</w:t>
      </w:r>
    </w:p>
    <w:p w14:paraId="7A81AFF9" w14:textId="77777777" w:rsidR="009C5020" w:rsidRPr="007A2931" w:rsidRDefault="009C5020" w:rsidP="00965593">
      <w:pPr>
        <w:spacing w:line="312" w:lineRule="auto"/>
        <w:ind w:left="1134"/>
        <w:jc w:val="both"/>
        <w:rPr>
          <w:rFonts w:asciiTheme="majorHAnsi" w:eastAsia="Arial" w:hAnsiTheme="majorHAnsi" w:cstheme="majorHAnsi"/>
          <w:sz w:val="20"/>
          <w:szCs w:val="20"/>
        </w:rPr>
      </w:pPr>
      <w:r w:rsidRPr="007A2931">
        <w:rPr>
          <w:rFonts w:asciiTheme="majorHAnsi" w:eastAsia="Arial" w:hAnsiTheme="majorHAnsi" w:cstheme="majorHAnsi"/>
          <w:sz w:val="20"/>
          <w:szCs w:val="20"/>
        </w:rPr>
        <w:t xml:space="preserve">Elemento de Despesa: </w:t>
      </w:r>
      <w:r w:rsidRPr="007A2931">
        <w:rPr>
          <w:rFonts w:asciiTheme="majorHAnsi" w:eastAsia="Arial" w:hAnsiTheme="majorHAnsi" w:cstheme="majorHAnsi"/>
          <w:color w:val="FF0000"/>
          <w:sz w:val="20"/>
          <w:szCs w:val="20"/>
        </w:rPr>
        <w:t>[...]</w:t>
      </w:r>
      <w:r w:rsidRPr="007A2931">
        <w:rPr>
          <w:rFonts w:asciiTheme="majorHAnsi" w:eastAsia="Arial" w:hAnsiTheme="majorHAnsi" w:cstheme="majorHAnsi"/>
          <w:sz w:val="20"/>
          <w:szCs w:val="20"/>
        </w:rPr>
        <w:t>;</w:t>
      </w:r>
    </w:p>
    <w:p w14:paraId="5C48E8C1" w14:textId="19E125EB" w:rsidR="009C5020" w:rsidRPr="007A2931" w:rsidRDefault="009C5020" w:rsidP="00965593">
      <w:pPr>
        <w:spacing w:afterLines="120" w:after="288" w:line="312" w:lineRule="auto"/>
        <w:ind w:left="1134"/>
        <w:jc w:val="both"/>
        <w:rPr>
          <w:rFonts w:asciiTheme="majorHAnsi" w:eastAsia="Arial" w:hAnsiTheme="majorHAnsi" w:cstheme="majorHAnsi"/>
          <w:sz w:val="20"/>
          <w:szCs w:val="20"/>
        </w:rPr>
      </w:pPr>
      <w:r w:rsidRPr="007A2931">
        <w:rPr>
          <w:rFonts w:asciiTheme="majorHAnsi" w:eastAsia="Arial" w:hAnsiTheme="majorHAnsi" w:cstheme="majorHAnsi"/>
          <w:sz w:val="20"/>
          <w:szCs w:val="20"/>
        </w:rPr>
        <w:t xml:space="preserve">Fonte de </w:t>
      </w:r>
      <w:r w:rsidR="00336279" w:rsidRPr="007A2931">
        <w:rPr>
          <w:rFonts w:asciiTheme="majorHAnsi" w:eastAsia="Arial" w:hAnsiTheme="majorHAnsi" w:cstheme="majorHAnsi"/>
          <w:sz w:val="20"/>
          <w:szCs w:val="20"/>
        </w:rPr>
        <w:t>Recursos</w:t>
      </w:r>
      <w:r w:rsidRPr="007A2931">
        <w:rPr>
          <w:rFonts w:asciiTheme="majorHAnsi" w:eastAsia="Arial" w:hAnsiTheme="majorHAnsi" w:cstheme="majorHAnsi"/>
          <w:sz w:val="20"/>
          <w:szCs w:val="20"/>
        </w:rPr>
        <w:t xml:space="preserve">: </w:t>
      </w:r>
      <w:r w:rsidRPr="007A2931">
        <w:rPr>
          <w:rFonts w:asciiTheme="majorHAnsi" w:eastAsia="Arial" w:hAnsiTheme="majorHAnsi" w:cstheme="majorHAnsi"/>
          <w:color w:val="FF0000"/>
          <w:sz w:val="20"/>
          <w:szCs w:val="20"/>
        </w:rPr>
        <w:t>[...]</w:t>
      </w:r>
      <w:r w:rsidRPr="007A2931">
        <w:rPr>
          <w:rFonts w:asciiTheme="majorHAnsi" w:eastAsia="Arial" w:hAnsiTheme="majorHAnsi" w:cstheme="majorHAnsi"/>
          <w:sz w:val="20"/>
          <w:szCs w:val="20"/>
        </w:rPr>
        <w:t>.</w:t>
      </w:r>
    </w:p>
    <w:p w14:paraId="72072B21" w14:textId="3E4AB635" w:rsidR="006D5FA5" w:rsidRPr="00706EB4" w:rsidRDefault="006D5FA5" w:rsidP="00253298">
      <w:pPr>
        <w:pStyle w:val="Nvel2-Red"/>
      </w:pPr>
      <w:r w:rsidRPr="00706EB4">
        <w:t xml:space="preserve">A dotação relativa aos exercícios financeiros subsequentes será indicada após aprovação da Lei Orçamentária respectiva e liberação dos </w:t>
      </w:r>
      <w:r w:rsidRPr="00253298">
        <w:t>créditos</w:t>
      </w:r>
      <w:r w:rsidRPr="00706EB4">
        <w:t xml:space="preserve"> correspondentes, mediante apostilamento.</w:t>
      </w:r>
    </w:p>
    <w:p w14:paraId="533CDCCE" w14:textId="3D3B4108" w:rsidR="00B45534" w:rsidRDefault="00B45534" w:rsidP="00B45534">
      <w:pPr>
        <w:pStyle w:val="Notaexplicativa"/>
      </w:pPr>
      <w:r w:rsidRPr="00706EB4">
        <w:rPr>
          <w:b/>
          <w:bCs/>
        </w:rPr>
        <w:t xml:space="preserve">Nota Explicativa: </w:t>
      </w:r>
      <w:r w:rsidRPr="00706EB4">
        <w:t xml:space="preserve">O </w:t>
      </w:r>
      <w:hyperlink r:id="rId45" w:anchor="art106" w:history="1">
        <w:r w:rsidRPr="00706EB4">
          <w:rPr>
            <w:rStyle w:val="Hyperlink"/>
            <w:i w:val="0"/>
            <w:iCs w:val="0"/>
          </w:rPr>
          <w:t>art. 106, II da Lei nº 14.133, de 2021</w:t>
        </w:r>
      </w:hyperlink>
      <w:r w:rsidRPr="00706EB4">
        <w:t>, prevê para contratações de serviços e fornecimento continuado que a “a Administração deverá atestar, no início da contratação e de cada exercício, a existência de créditos orçamentários vinculados à contratação e a vantagem em sua manutenção”</w:t>
      </w:r>
      <w:r w:rsidR="004D4F13">
        <w:t>, o que se aplica aos contratos de locação</w:t>
      </w:r>
      <w:r w:rsidRPr="00706EB4">
        <w:t>. Quanto à rescisão contratual por ausência de crédito ou vantajosidade (</w:t>
      </w:r>
      <w:hyperlink r:id="rId46" w:anchor="art106" w:history="1">
        <w:r w:rsidRPr="00706EB4">
          <w:rPr>
            <w:rStyle w:val="Hyperlink"/>
          </w:rPr>
          <w:t>art. 106, III</w:t>
        </w:r>
      </w:hyperlink>
      <w:r w:rsidRPr="00706EB4">
        <w:t xml:space="preserve">), remete-se às regras específicas constantes do contrato, inclusive em relação à aplicação do </w:t>
      </w:r>
      <w:hyperlink r:id="rId47" w:anchor="art106" w:history="1">
        <w:r w:rsidRPr="00706EB4">
          <w:rPr>
            <w:rStyle w:val="Hyperlink"/>
          </w:rPr>
          <w:t>art. 106, §1º</w:t>
        </w:r>
      </w:hyperlink>
      <w:r w:rsidRPr="00706EB4">
        <w:t>.</w:t>
      </w:r>
    </w:p>
    <w:p w14:paraId="35E4D207" w14:textId="246CBFEA" w:rsidR="007A2931" w:rsidRPr="005E63B6" w:rsidRDefault="005820DA" w:rsidP="007A2931">
      <w:pPr>
        <w:pStyle w:val="Nivel2"/>
        <w:numPr>
          <w:ilvl w:val="0"/>
          <w:numId w:val="0"/>
        </w:numPr>
        <w:spacing w:afterLines="120" w:after="288" w:line="312" w:lineRule="auto"/>
        <w:rPr>
          <w:rFonts w:asciiTheme="majorHAnsi" w:hAnsiTheme="majorHAnsi" w:cstheme="majorHAnsi"/>
          <w:i/>
          <w:iCs/>
          <w:color w:val="FF0000"/>
        </w:rPr>
      </w:pPr>
      <w:r>
        <w:t>Laranja da Terra</w:t>
      </w:r>
      <w:r w:rsidR="007A2931">
        <w:t>/ES</w:t>
      </w:r>
      <w:r w:rsidR="007A2931" w:rsidRPr="005E63B6">
        <w:rPr>
          <w:rFonts w:asciiTheme="majorHAnsi" w:hAnsiTheme="majorHAnsi" w:cstheme="majorHAnsi"/>
          <w:i/>
          <w:iCs/>
          <w:color w:val="auto"/>
        </w:rPr>
        <w:t>,</w:t>
      </w:r>
      <w:r w:rsidR="007A2931" w:rsidRPr="005E63B6">
        <w:rPr>
          <w:rFonts w:asciiTheme="majorHAnsi" w:hAnsiTheme="majorHAnsi" w:cstheme="majorHAnsi"/>
          <w:i/>
          <w:iCs/>
          <w:color w:val="FF0000"/>
        </w:rPr>
        <w:t xml:space="preserve"> [dia] </w:t>
      </w:r>
      <w:r w:rsidR="007A2931" w:rsidRPr="005E63B6">
        <w:rPr>
          <w:rFonts w:asciiTheme="majorHAnsi" w:hAnsiTheme="majorHAnsi" w:cstheme="majorHAnsi"/>
          <w:i/>
          <w:iCs/>
          <w:color w:val="auto"/>
        </w:rPr>
        <w:t>de</w:t>
      </w:r>
      <w:r w:rsidR="007A2931" w:rsidRPr="005E63B6">
        <w:rPr>
          <w:rFonts w:asciiTheme="majorHAnsi" w:hAnsiTheme="majorHAnsi" w:cstheme="majorHAnsi"/>
          <w:i/>
          <w:iCs/>
          <w:color w:val="FF0000"/>
        </w:rPr>
        <w:t xml:space="preserve"> [mês] </w:t>
      </w:r>
      <w:r w:rsidR="007A2931" w:rsidRPr="005E63B6">
        <w:rPr>
          <w:rFonts w:asciiTheme="majorHAnsi" w:hAnsiTheme="majorHAnsi" w:cstheme="majorHAnsi"/>
          <w:i/>
          <w:iCs/>
          <w:color w:val="auto"/>
        </w:rPr>
        <w:t>de</w:t>
      </w:r>
      <w:r w:rsidR="007A2931" w:rsidRPr="005E63B6">
        <w:rPr>
          <w:rFonts w:asciiTheme="majorHAnsi" w:hAnsiTheme="majorHAnsi" w:cstheme="majorHAnsi"/>
          <w:i/>
          <w:iCs/>
          <w:color w:val="FF0000"/>
        </w:rPr>
        <w:t xml:space="preserve"> [ano].</w:t>
      </w:r>
    </w:p>
    <w:p w14:paraId="265A26DE" w14:textId="77777777" w:rsidR="007A2931" w:rsidRPr="005E63B6" w:rsidRDefault="007A2931" w:rsidP="007A2931">
      <w:pPr>
        <w:pStyle w:val="Nivel2"/>
        <w:numPr>
          <w:ilvl w:val="0"/>
          <w:numId w:val="0"/>
        </w:numPr>
        <w:spacing w:afterLines="120" w:after="288" w:line="312" w:lineRule="auto"/>
        <w:rPr>
          <w:rFonts w:asciiTheme="majorHAnsi" w:hAnsiTheme="majorHAnsi" w:cstheme="majorHAnsi"/>
          <w:i/>
          <w:iCs/>
          <w:color w:val="auto"/>
        </w:rPr>
      </w:pPr>
    </w:p>
    <w:p w14:paraId="6B91E1B2" w14:textId="77777777" w:rsidR="007A2931" w:rsidRPr="005E63B6" w:rsidRDefault="007A2931" w:rsidP="007A2931">
      <w:pPr>
        <w:spacing w:before="120" w:afterLines="120" w:after="288" w:line="312" w:lineRule="auto"/>
        <w:ind w:left="357"/>
        <w:jc w:val="center"/>
        <w:rPr>
          <w:rFonts w:asciiTheme="majorHAnsi" w:eastAsia="Arial" w:hAnsiTheme="majorHAnsi" w:cstheme="majorHAnsi"/>
          <w:sz w:val="20"/>
          <w:szCs w:val="20"/>
        </w:rPr>
      </w:pPr>
      <w:r w:rsidRPr="005E63B6">
        <w:rPr>
          <w:rFonts w:asciiTheme="majorHAnsi" w:eastAsia="Arial" w:hAnsiTheme="majorHAnsi" w:cstheme="majorHAnsi"/>
          <w:sz w:val="20"/>
          <w:szCs w:val="20"/>
        </w:rPr>
        <w:t>__________________________________</w:t>
      </w:r>
    </w:p>
    <w:p w14:paraId="568C5BB4" w14:textId="77777777" w:rsidR="007A2931" w:rsidRPr="005E63B6" w:rsidRDefault="007A2931" w:rsidP="007A2931">
      <w:pPr>
        <w:spacing w:before="120" w:afterLines="120" w:after="288" w:line="312" w:lineRule="auto"/>
        <w:ind w:left="360"/>
        <w:jc w:val="center"/>
        <w:rPr>
          <w:rFonts w:asciiTheme="majorHAnsi" w:eastAsia="Arial" w:hAnsiTheme="majorHAnsi" w:cstheme="majorHAnsi"/>
          <w:sz w:val="20"/>
          <w:szCs w:val="20"/>
        </w:rPr>
      </w:pPr>
      <w:r w:rsidRPr="005E63B6">
        <w:rPr>
          <w:rFonts w:asciiTheme="majorHAnsi" w:eastAsia="Arial" w:hAnsiTheme="majorHAnsi" w:cstheme="majorHAnsi"/>
          <w:sz w:val="20"/>
          <w:szCs w:val="20"/>
        </w:rPr>
        <w:t>Identificação e assinatura do servidor (ou equipe) responsável</w:t>
      </w:r>
    </w:p>
    <w:p w14:paraId="61A6F3E9" w14:textId="77777777" w:rsidR="007A2931" w:rsidRPr="005E63B6" w:rsidRDefault="007A2931" w:rsidP="007A2931">
      <w:pPr>
        <w:pStyle w:val="Notaexplicativa"/>
      </w:pPr>
      <w:r w:rsidRPr="005E63B6">
        <w:rPr>
          <w:b/>
          <w:bCs/>
        </w:rPr>
        <w:t>Nota Explicativa 1:</w:t>
      </w:r>
      <w:r w:rsidRPr="005E63B6">
        <w:t xml:space="preserve"> O Termo de Referência deverá ser devidamente aprovado pelo ordenador de despesas ou a autoridade competente respectiva, conforme divisão de atribuições de cada órgão.</w:t>
      </w:r>
    </w:p>
    <w:p w14:paraId="5CE82495" w14:textId="77777777" w:rsidR="007A2931" w:rsidRPr="005E63B6" w:rsidRDefault="007A2931" w:rsidP="007A2931">
      <w:pPr>
        <w:pStyle w:val="Notaexplicativa"/>
      </w:pPr>
      <w:r w:rsidRPr="005E63B6">
        <w:rPr>
          <w:b/>
          <w:bCs/>
        </w:rPr>
        <w:t>Nota Explicativa 2:</w:t>
      </w:r>
      <w:r w:rsidRPr="005E63B6">
        <w:t xml:space="preserve"> Registre-se que, salvo no caso de elaboração do TR pela própria autoridade competente para aprová-lo, eventual equipe incumbida de tal confecção deve ser designada pela autoridade competente nos termos do </w:t>
      </w:r>
      <w:hyperlink r:id="rId48" w:history="1">
        <w:r w:rsidRPr="005E63B6">
          <w:rPr>
            <w:rStyle w:val="Hyperlink"/>
            <w:i w:val="0"/>
            <w:iCs w:val="0"/>
          </w:rPr>
          <w:t>art. 7º da Lei nº 14.133, de 2021</w:t>
        </w:r>
      </w:hyperlink>
      <w:r w:rsidRPr="005E63B6">
        <w:t>, incumbindo a esta aferir o cumprimento dos requisitos necessários a esta função.</w:t>
      </w:r>
    </w:p>
    <w:p w14:paraId="50D05A65" w14:textId="77777777" w:rsidR="007A2931" w:rsidRPr="005E63B6" w:rsidRDefault="007A2931" w:rsidP="007A2931">
      <w:pPr>
        <w:pStyle w:val="Notaexplicativa"/>
      </w:pPr>
      <w:r w:rsidRPr="005E63B6">
        <w:rPr>
          <w:b/>
          <w:bCs/>
        </w:rPr>
        <w:t>Nota Explicativa 3:</w:t>
      </w:r>
      <w:r w:rsidRPr="005E63B6">
        <w:t xml:space="preserve">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09FE6FF8" w14:textId="505E678C" w:rsidR="007A2931" w:rsidRPr="007A2931" w:rsidRDefault="007A2931" w:rsidP="00B45534">
      <w:pPr>
        <w:pStyle w:val="Notaexplicativa"/>
      </w:pPr>
      <w:r w:rsidRPr="005E63B6">
        <w:rPr>
          <w:b/>
          <w:bCs/>
        </w:rPr>
        <w:lastRenderedPageBreak/>
        <w:t>Nota Explicativa 4:</w:t>
      </w:r>
      <w:r w:rsidRPr="005E63B6">
        <w:t xml:space="preserve"> Atentar para a necessidade de avaliação quanto à pertinência de classificar o TR nos termos da </w:t>
      </w:r>
      <w:hyperlink r:id="rId49" w:history="1">
        <w:r w:rsidRPr="005E63B6">
          <w:rPr>
            <w:rStyle w:val="Hyperlink"/>
            <w:i w:val="0"/>
            <w:iCs w:val="0"/>
          </w:rPr>
          <w:t>Lei nº 12.527, de 18 de novembro de 2011</w:t>
        </w:r>
      </w:hyperlink>
      <w:r w:rsidRPr="005E63B6">
        <w:t xml:space="preserve"> (Lei de Acesso à Informação).</w:t>
      </w:r>
      <w:bookmarkEnd w:id="0"/>
    </w:p>
    <w:sectPr w:rsidR="007A2931" w:rsidRPr="007A2931" w:rsidSect="008A7131">
      <w:footerReference w:type="default" r:id="rId50"/>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31CB" w14:textId="77777777" w:rsidR="00D22E5E" w:rsidRDefault="00D22E5E">
      <w:r>
        <w:separator/>
      </w:r>
    </w:p>
  </w:endnote>
  <w:endnote w:type="continuationSeparator" w:id="0">
    <w:p w14:paraId="2C48CFF5" w14:textId="77777777" w:rsidR="00D22E5E" w:rsidRDefault="00D22E5E">
      <w:r>
        <w:continuationSeparator/>
      </w:r>
    </w:p>
  </w:endnote>
  <w:endnote w:type="continuationNotice" w:id="1">
    <w:p w14:paraId="4D9A9201" w14:textId="77777777" w:rsidR="00D22E5E" w:rsidRDefault="00D22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p w14:paraId="2128CA48" w14:textId="77777777" w:rsidR="002A1DD3" w:rsidRPr="00062667" w:rsidRDefault="002A1DD3" w:rsidP="00070753">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34E4E9E6" w14:textId="248C21B2" w:rsidR="002A1DD3" w:rsidRPr="00062667" w:rsidRDefault="002A1DD3" w:rsidP="00070753">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5820DA">
          <w:rPr>
            <w:rFonts w:asciiTheme="majorHAnsi" w:hAnsiTheme="majorHAnsi" w:cstheme="majorHAnsi"/>
            <w:sz w:val="16"/>
            <w:szCs w:val="16"/>
          </w:rPr>
          <w:t>dezembro</w:t>
        </w:r>
        <w:r>
          <w:rPr>
            <w:rFonts w:asciiTheme="majorHAnsi" w:hAnsiTheme="majorHAnsi" w:cstheme="majorHAnsi"/>
            <w:sz w:val="16"/>
            <w:szCs w:val="16"/>
          </w:rPr>
          <w:t>/2023</w:t>
        </w:r>
      </w:p>
      <w:p w14:paraId="7E6308F2" w14:textId="0BC5C8CE" w:rsidR="002A1DD3" w:rsidRPr="00070753" w:rsidRDefault="002A1DD3" w:rsidP="00070753">
        <w:pPr>
          <w:pStyle w:val="Rodap"/>
          <w:rPr>
            <w:rFonts w:asciiTheme="majorHAnsi" w:hAnsiTheme="majorHAnsi" w:cstheme="majorHAnsi"/>
            <w:color w:val="0F243E" w:themeColor="text2" w:themeShade="80"/>
            <w:sz w:val="16"/>
            <w:szCs w:val="16"/>
          </w:rPr>
        </w:pPr>
        <w:r w:rsidRPr="00062667">
          <w:rPr>
            <w:rFonts w:asciiTheme="majorHAnsi" w:hAnsiTheme="majorHAnsi" w:cstheme="majorHAnsi"/>
            <w:sz w:val="16"/>
            <w:szCs w:val="16"/>
          </w:rPr>
          <w:t xml:space="preserve">Termo de Referência </w:t>
        </w:r>
        <w:r w:rsidR="007A2931">
          <w:rPr>
            <w:rFonts w:asciiTheme="majorHAnsi" w:hAnsiTheme="majorHAnsi" w:cstheme="majorHAnsi"/>
            <w:sz w:val="16"/>
            <w:szCs w:val="16"/>
          </w:rPr>
          <w:t>Locação</w:t>
        </w:r>
        <w:r w:rsidRPr="00062667">
          <w:rPr>
            <w:rFonts w:asciiTheme="majorHAnsi" w:hAnsiTheme="majorHAnsi" w:cstheme="majorHAnsi"/>
            <w:sz w:val="16"/>
            <w:szCs w:val="16"/>
          </w:rPr>
          <w:t xml:space="preserve"> </w:t>
        </w:r>
        <w:r>
          <w:rPr>
            <w:rFonts w:asciiTheme="majorHAnsi" w:hAnsiTheme="majorHAnsi" w:cstheme="majorHAnsi"/>
            <w:sz w:val="16"/>
            <w:szCs w:val="16"/>
          </w:rPr>
          <w:t>-</w:t>
        </w:r>
        <w:r w:rsidRPr="00062667">
          <w:rPr>
            <w:rFonts w:asciiTheme="majorHAnsi" w:hAnsiTheme="majorHAnsi" w:cstheme="majorHAnsi"/>
            <w:sz w:val="16"/>
            <w:szCs w:val="16"/>
          </w:rPr>
          <w:t xml:space="preserve"> </w:t>
        </w:r>
        <w:r>
          <w:rPr>
            <w:rFonts w:asciiTheme="majorHAnsi" w:hAnsiTheme="majorHAnsi" w:cstheme="majorHAnsi"/>
            <w:sz w:val="16"/>
            <w:szCs w:val="16"/>
          </w:rPr>
          <w:t>Contratação Direta</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5349" w14:textId="77777777" w:rsidR="00D22E5E" w:rsidRDefault="00D22E5E">
      <w:r>
        <w:separator/>
      </w:r>
    </w:p>
  </w:footnote>
  <w:footnote w:type="continuationSeparator" w:id="0">
    <w:p w14:paraId="7E0B97EA" w14:textId="77777777" w:rsidR="00D22E5E" w:rsidRDefault="00D22E5E">
      <w:r>
        <w:continuationSeparator/>
      </w:r>
    </w:p>
  </w:footnote>
  <w:footnote w:type="continuationNotice" w:id="1">
    <w:p w14:paraId="49C7365E" w14:textId="77777777" w:rsidR="00D22E5E" w:rsidRDefault="00D22E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 w15:restartNumberingAfterBreak="0">
    <w:nsid w:val="1D5C100D"/>
    <w:multiLevelType w:val="multilevel"/>
    <w:tmpl w:val="1514F57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4"/>
        <w:u w:val="none"/>
      </w:rPr>
    </w:lvl>
    <w:lvl w:ilvl="2">
      <w:start w:val="1"/>
      <w:numFmt w:val="decimal"/>
      <w:pStyle w:val="Nivel3"/>
      <w:lvlText w:val="%1.%2.%3."/>
      <w:lvlJc w:val="left"/>
      <w:pPr>
        <w:ind w:left="3198" w:hanging="504"/>
      </w:pPr>
      <w:rPr>
        <w:rFonts w:asciiTheme="majorHAnsi" w:hAnsiTheme="majorHAnsi" w:cstheme="majorHAnsi" w:hint="default"/>
        <w:b w:val="0"/>
        <w:i w:val="0"/>
        <w:strike w:val="0"/>
        <w:color w:val="auto"/>
        <w:sz w:val="20"/>
        <w:szCs w:val="24"/>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FE265C"/>
    <w:multiLevelType w:val="hybridMultilevel"/>
    <w:tmpl w:val="3FE20C66"/>
    <w:lvl w:ilvl="0" w:tplc="F67A28FA">
      <w:start w:val="1"/>
      <w:numFmt w:val="lowerLetter"/>
      <w:lvlText w:val="%1)"/>
      <w:lvlJc w:val="left"/>
      <w:pPr>
        <w:ind w:left="1712" w:hanging="360"/>
      </w:pPr>
      <w:rPr>
        <w:color w:val="auto"/>
      </w:r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23968709">
    <w:abstractNumId w:val="2"/>
  </w:num>
  <w:num w:numId="2" w16cid:durableId="1126042291">
    <w:abstractNumId w:val="0"/>
  </w:num>
  <w:num w:numId="3" w16cid:durableId="1093429472">
    <w:abstractNumId w:val="9"/>
  </w:num>
  <w:num w:numId="4" w16cid:durableId="764106993">
    <w:abstractNumId w:val="10"/>
  </w:num>
  <w:num w:numId="5" w16cid:durableId="1138106791">
    <w:abstractNumId w:val="6"/>
  </w:num>
  <w:num w:numId="6" w16cid:durableId="601455865">
    <w:abstractNumId w:val="4"/>
  </w:num>
  <w:num w:numId="7" w16cid:durableId="59406110">
    <w:abstractNumId w:val="7"/>
  </w:num>
  <w:num w:numId="8" w16cid:durableId="1135298842">
    <w:abstractNumId w:val="8"/>
  </w:num>
  <w:num w:numId="9" w16cid:durableId="74980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5591578">
    <w:abstractNumId w:val="1"/>
  </w:num>
  <w:num w:numId="11" w16cid:durableId="170656468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6B"/>
    <w:rsid w:val="00006179"/>
    <w:rsid w:val="00006180"/>
    <w:rsid w:val="0000650E"/>
    <w:rsid w:val="000066C8"/>
    <w:rsid w:val="000069B4"/>
    <w:rsid w:val="000070AF"/>
    <w:rsid w:val="000073F3"/>
    <w:rsid w:val="0000756E"/>
    <w:rsid w:val="00007E0D"/>
    <w:rsid w:val="00010C6A"/>
    <w:rsid w:val="00011390"/>
    <w:rsid w:val="000122C1"/>
    <w:rsid w:val="000124BA"/>
    <w:rsid w:val="00012A11"/>
    <w:rsid w:val="00012BDD"/>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499E"/>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51"/>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87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3"/>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1E1"/>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6A34"/>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19C3"/>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1D8"/>
    <w:rsid w:val="00105707"/>
    <w:rsid w:val="00105BB9"/>
    <w:rsid w:val="00105C7B"/>
    <w:rsid w:val="00106642"/>
    <w:rsid w:val="00106B39"/>
    <w:rsid w:val="00110305"/>
    <w:rsid w:val="001103FF"/>
    <w:rsid w:val="00110909"/>
    <w:rsid w:val="00110C21"/>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329"/>
    <w:rsid w:val="001516EA"/>
    <w:rsid w:val="0015172D"/>
    <w:rsid w:val="0015330F"/>
    <w:rsid w:val="0015394F"/>
    <w:rsid w:val="00153ABA"/>
    <w:rsid w:val="00153E25"/>
    <w:rsid w:val="00153EB6"/>
    <w:rsid w:val="00154505"/>
    <w:rsid w:val="001545B4"/>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491"/>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87F3F"/>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425"/>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37372"/>
    <w:rsid w:val="00240B17"/>
    <w:rsid w:val="00240E5B"/>
    <w:rsid w:val="00241680"/>
    <w:rsid w:val="00241D78"/>
    <w:rsid w:val="002430F2"/>
    <w:rsid w:val="0024516A"/>
    <w:rsid w:val="00245337"/>
    <w:rsid w:val="00245C2C"/>
    <w:rsid w:val="002463C0"/>
    <w:rsid w:val="002463E2"/>
    <w:rsid w:val="002463FA"/>
    <w:rsid w:val="00246DAE"/>
    <w:rsid w:val="00250C01"/>
    <w:rsid w:val="00250ED4"/>
    <w:rsid w:val="002521DC"/>
    <w:rsid w:val="00252859"/>
    <w:rsid w:val="00253298"/>
    <w:rsid w:val="00253319"/>
    <w:rsid w:val="002538B4"/>
    <w:rsid w:val="002538E3"/>
    <w:rsid w:val="00253C18"/>
    <w:rsid w:val="00253EDB"/>
    <w:rsid w:val="0025530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A2"/>
    <w:rsid w:val="00261723"/>
    <w:rsid w:val="002617C8"/>
    <w:rsid w:val="002617F3"/>
    <w:rsid w:val="00261925"/>
    <w:rsid w:val="00261A38"/>
    <w:rsid w:val="00261B52"/>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9F"/>
    <w:rsid w:val="00293FFC"/>
    <w:rsid w:val="00294348"/>
    <w:rsid w:val="00294C1A"/>
    <w:rsid w:val="00294F3F"/>
    <w:rsid w:val="00295081"/>
    <w:rsid w:val="002950EF"/>
    <w:rsid w:val="00295EB3"/>
    <w:rsid w:val="002961D6"/>
    <w:rsid w:val="00296F0D"/>
    <w:rsid w:val="00297870"/>
    <w:rsid w:val="00297E77"/>
    <w:rsid w:val="002A046D"/>
    <w:rsid w:val="002A0D02"/>
    <w:rsid w:val="002A1164"/>
    <w:rsid w:val="002A127F"/>
    <w:rsid w:val="002A17C6"/>
    <w:rsid w:val="002A18C1"/>
    <w:rsid w:val="002A19C7"/>
    <w:rsid w:val="002A1D8D"/>
    <w:rsid w:val="002A1DD3"/>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39E"/>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3D71"/>
    <w:rsid w:val="002F4811"/>
    <w:rsid w:val="002F48A7"/>
    <w:rsid w:val="002F6672"/>
    <w:rsid w:val="002F6A58"/>
    <w:rsid w:val="002F70BE"/>
    <w:rsid w:val="002F717F"/>
    <w:rsid w:val="002F7EB1"/>
    <w:rsid w:val="00301CAE"/>
    <w:rsid w:val="00302138"/>
    <w:rsid w:val="00302A6E"/>
    <w:rsid w:val="0030329D"/>
    <w:rsid w:val="00303864"/>
    <w:rsid w:val="00303DF2"/>
    <w:rsid w:val="00304AEA"/>
    <w:rsid w:val="00304B56"/>
    <w:rsid w:val="003051D8"/>
    <w:rsid w:val="00305F81"/>
    <w:rsid w:val="00307DBE"/>
    <w:rsid w:val="00310336"/>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03C"/>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09CF"/>
    <w:rsid w:val="0033103B"/>
    <w:rsid w:val="003310F0"/>
    <w:rsid w:val="00331182"/>
    <w:rsid w:val="0033153A"/>
    <w:rsid w:val="00332AB2"/>
    <w:rsid w:val="00332C60"/>
    <w:rsid w:val="00333B87"/>
    <w:rsid w:val="00333D81"/>
    <w:rsid w:val="003342E1"/>
    <w:rsid w:val="003343F8"/>
    <w:rsid w:val="00335189"/>
    <w:rsid w:val="0033550F"/>
    <w:rsid w:val="00336279"/>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6C93"/>
    <w:rsid w:val="0034712C"/>
    <w:rsid w:val="0034750F"/>
    <w:rsid w:val="00347598"/>
    <w:rsid w:val="0034783E"/>
    <w:rsid w:val="00350615"/>
    <w:rsid w:val="00350BED"/>
    <w:rsid w:val="00350E1F"/>
    <w:rsid w:val="003518F6"/>
    <w:rsid w:val="00352541"/>
    <w:rsid w:val="00354B78"/>
    <w:rsid w:val="00354BBC"/>
    <w:rsid w:val="00355EDF"/>
    <w:rsid w:val="0035658A"/>
    <w:rsid w:val="00357ADD"/>
    <w:rsid w:val="00357DC7"/>
    <w:rsid w:val="00360444"/>
    <w:rsid w:val="00360501"/>
    <w:rsid w:val="0036051A"/>
    <w:rsid w:val="003605F6"/>
    <w:rsid w:val="0036083A"/>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A38"/>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346"/>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5D63"/>
    <w:rsid w:val="00406952"/>
    <w:rsid w:val="00407603"/>
    <w:rsid w:val="004076F7"/>
    <w:rsid w:val="00407F1C"/>
    <w:rsid w:val="004119BA"/>
    <w:rsid w:val="004122ED"/>
    <w:rsid w:val="00412C7A"/>
    <w:rsid w:val="00413089"/>
    <w:rsid w:val="004130BD"/>
    <w:rsid w:val="00413352"/>
    <w:rsid w:val="00413DFC"/>
    <w:rsid w:val="0041402E"/>
    <w:rsid w:val="00414DDA"/>
    <w:rsid w:val="00414DF1"/>
    <w:rsid w:val="00414E9B"/>
    <w:rsid w:val="0041506F"/>
    <w:rsid w:val="00415D0B"/>
    <w:rsid w:val="00415F27"/>
    <w:rsid w:val="00416A59"/>
    <w:rsid w:val="00416D8E"/>
    <w:rsid w:val="00416EE0"/>
    <w:rsid w:val="00416FE5"/>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27FF8"/>
    <w:rsid w:val="004307A2"/>
    <w:rsid w:val="00430FD9"/>
    <w:rsid w:val="00430FDB"/>
    <w:rsid w:val="00431129"/>
    <w:rsid w:val="00431629"/>
    <w:rsid w:val="0043162F"/>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A76"/>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898"/>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7C"/>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4FC9"/>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6A1"/>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14C"/>
    <w:rsid w:val="004D133F"/>
    <w:rsid w:val="004D2BC8"/>
    <w:rsid w:val="004D31CA"/>
    <w:rsid w:val="004D3268"/>
    <w:rsid w:val="004D374E"/>
    <w:rsid w:val="004D38D3"/>
    <w:rsid w:val="004D39AE"/>
    <w:rsid w:val="004D4F13"/>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0A6"/>
    <w:rsid w:val="004E4437"/>
    <w:rsid w:val="004E47F8"/>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8BD"/>
    <w:rsid w:val="00517D94"/>
    <w:rsid w:val="005201AC"/>
    <w:rsid w:val="00520D64"/>
    <w:rsid w:val="00521DA7"/>
    <w:rsid w:val="00521DFE"/>
    <w:rsid w:val="00522267"/>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46A"/>
    <w:rsid w:val="00544C09"/>
    <w:rsid w:val="00545A58"/>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A23"/>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A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0DA"/>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4DEB"/>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175C"/>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5DBB"/>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C78"/>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7A1"/>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843"/>
    <w:rsid w:val="006479F3"/>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16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0E85"/>
    <w:rsid w:val="00681927"/>
    <w:rsid w:val="00681F9B"/>
    <w:rsid w:val="00682215"/>
    <w:rsid w:val="0068266E"/>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45A"/>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230"/>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1FAA"/>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B71"/>
    <w:rsid w:val="006E2D9C"/>
    <w:rsid w:val="006E4526"/>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6CE0"/>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6EB4"/>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7"/>
    <w:rsid w:val="0073225B"/>
    <w:rsid w:val="00732BBA"/>
    <w:rsid w:val="00733245"/>
    <w:rsid w:val="00733DE0"/>
    <w:rsid w:val="00734628"/>
    <w:rsid w:val="00734BA3"/>
    <w:rsid w:val="007350B8"/>
    <w:rsid w:val="00735226"/>
    <w:rsid w:val="007357C5"/>
    <w:rsid w:val="0073590A"/>
    <w:rsid w:val="00735A52"/>
    <w:rsid w:val="00735ABA"/>
    <w:rsid w:val="00735EE1"/>
    <w:rsid w:val="0073614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58F"/>
    <w:rsid w:val="007938EF"/>
    <w:rsid w:val="0079430D"/>
    <w:rsid w:val="007953B9"/>
    <w:rsid w:val="0079697B"/>
    <w:rsid w:val="0079754C"/>
    <w:rsid w:val="007A0657"/>
    <w:rsid w:val="007A0679"/>
    <w:rsid w:val="007A1395"/>
    <w:rsid w:val="007A22E9"/>
    <w:rsid w:val="007A24A2"/>
    <w:rsid w:val="007A24EB"/>
    <w:rsid w:val="007A25CC"/>
    <w:rsid w:val="007A282D"/>
    <w:rsid w:val="007A2931"/>
    <w:rsid w:val="007A331E"/>
    <w:rsid w:val="007A3B34"/>
    <w:rsid w:val="007A3BD0"/>
    <w:rsid w:val="007A455D"/>
    <w:rsid w:val="007A4C6D"/>
    <w:rsid w:val="007A4F2F"/>
    <w:rsid w:val="007A5C07"/>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0F41"/>
    <w:rsid w:val="007D1573"/>
    <w:rsid w:val="007D1CB4"/>
    <w:rsid w:val="007D1F1A"/>
    <w:rsid w:val="007D3011"/>
    <w:rsid w:val="007D3043"/>
    <w:rsid w:val="007D3195"/>
    <w:rsid w:val="007D3572"/>
    <w:rsid w:val="007D3FCB"/>
    <w:rsid w:val="007D4064"/>
    <w:rsid w:val="007D44E5"/>
    <w:rsid w:val="007D4912"/>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195"/>
    <w:rsid w:val="00814B36"/>
    <w:rsid w:val="0081517D"/>
    <w:rsid w:val="008152DB"/>
    <w:rsid w:val="00815792"/>
    <w:rsid w:val="00815C9B"/>
    <w:rsid w:val="00815F59"/>
    <w:rsid w:val="00816472"/>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3B8B"/>
    <w:rsid w:val="00854E60"/>
    <w:rsid w:val="00854F1F"/>
    <w:rsid w:val="00855F5F"/>
    <w:rsid w:val="0085639E"/>
    <w:rsid w:val="00856B1B"/>
    <w:rsid w:val="0085724C"/>
    <w:rsid w:val="008574D7"/>
    <w:rsid w:val="00857D58"/>
    <w:rsid w:val="008601A9"/>
    <w:rsid w:val="00860C62"/>
    <w:rsid w:val="00861228"/>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EA0"/>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A5E"/>
    <w:rsid w:val="008A3DF9"/>
    <w:rsid w:val="008A5209"/>
    <w:rsid w:val="008A547E"/>
    <w:rsid w:val="008A5B1F"/>
    <w:rsid w:val="008A5DDC"/>
    <w:rsid w:val="008A5E8A"/>
    <w:rsid w:val="008A5FC8"/>
    <w:rsid w:val="008A66F4"/>
    <w:rsid w:val="008A7131"/>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0DE"/>
    <w:rsid w:val="008C04DF"/>
    <w:rsid w:val="008C082D"/>
    <w:rsid w:val="008C1041"/>
    <w:rsid w:val="008C1880"/>
    <w:rsid w:val="008C1897"/>
    <w:rsid w:val="008C1971"/>
    <w:rsid w:val="008C2027"/>
    <w:rsid w:val="008C248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0A44"/>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1696"/>
    <w:rsid w:val="00911756"/>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27A2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68F8"/>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593"/>
    <w:rsid w:val="009656EE"/>
    <w:rsid w:val="00965871"/>
    <w:rsid w:val="00965E26"/>
    <w:rsid w:val="009663C6"/>
    <w:rsid w:val="0096643C"/>
    <w:rsid w:val="00966F17"/>
    <w:rsid w:val="00967ED7"/>
    <w:rsid w:val="00970139"/>
    <w:rsid w:val="00970A6B"/>
    <w:rsid w:val="00971154"/>
    <w:rsid w:val="00971171"/>
    <w:rsid w:val="00971251"/>
    <w:rsid w:val="009713C6"/>
    <w:rsid w:val="00971A40"/>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5FE"/>
    <w:rsid w:val="009A2BBB"/>
    <w:rsid w:val="009A2C08"/>
    <w:rsid w:val="009A2CD1"/>
    <w:rsid w:val="009A35A6"/>
    <w:rsid w:val="009A3612"/>
    <w:rsid w:val="009A4059"/>
    <w:rsid w:val="009A44C8"/>
    <w:rsid w:val="009A4550"/>
    <w:rsid w:val="009A4579"/>
    <w:rsid w:val="009A45B0"/>
    <w:rsid w:val="009A4755"/>
    <w:rsid w:val="009A4EAB"/>
    <w:rsid w:val="009A5BCC"/>
    <w:rsid w:val="009A5F58"/>
    <w:rsid w:val="009A6A6F"/>
    <w:rsid w:val="009A735F"/>
    <w:rsid w:val="009A7D52"/>
    <w:rsid w:val="009B07DC"/>
    <w:rsid w:val="009B0F0C"/>
    <w:rsid w:val="009B1226"/>
    <w:rsid w:val="009B13B9"/>
    <w:rsid w:val="009B1AD4"/>
    <w:rsid w:val="009B1B69"/>
    <w:rsid w:val="009B1D67"/>
    <w:rsid w:val="009B3317"/>
    <w:rsid w:val="009B47EE"/>
    <w:rsid w:val="009B533B"/>
    <w:rsid w:val="009B5A67"/>
    <w:rsid w:val="009B7570"/>
    <w:rsid w:val="009C0336"/>
    <w:rsid w:val="009C0851"/>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B2F"/>
    <w:rsid w:val="009C4CD0"/>
    <w:rsid w:val="009C502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5FA"/>
    <w:rsid w:val="009F5EB6"/>
    <w:rsid w:val="009F62D9"/>
    <w:rsid w:val="00A00C12"/>
    <w:rsid w:val="00A016AE"/>
    <w:rsid w:val="00A016F4"/>
    <w:rsid w:val="00A01D7B"/>
    <w:rsid w:val="00A01EE3"/>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6F60"/>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0EA5"/>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2"/>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911"/>
    <w:rsid w:val="00A72B79"/>
    <w:rsid w:val="00A73268"/>
    <w:rsid w:val="00A737FD"/>
    <w:rsid w:val="00A73BD7"/>
    <w:rsid w:val="00A742C7"/>
    <w:rsid w:val="00A743AB"/>
    <w:rsid w:val="00A7453E"/>
    <w:rsid w:val="00A753C0"/>
    <w:rsid w:val="00A75510"/>
    <w:rsid w:val="00A7590C"/>
    <w:rsid w:val="00A761E5"/>
    <w:rsid w:val="00A77212"/>
    <w:rsid w:val="00A77296"/>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3F3"/>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5F8C"/>
    <w:rsid w:val="00AB6007"/>
    <w:rsid w:val="00AB6588"/>
    <w:rsid w:val="00AB6C7B"/>
    <w:rsid w:val="00AB6EAC"/>
    <w:rsid w:val="00AC00D2"/>
    <w:rsid w:val="00AC0699"/>
    <w:rsid w:val="00AC0D22"/>
    <w:rsid w:val="00AC191A"/>
    <w:rsid w:val="00AC252B"/>
    <w:rsid w:val="00AC2BEF"/>
    <w:rsid w:val="00AC2F08"/>
    <w:rsid w:val="00AC35B2"/>
    <w:rsid w:val="00AC3CBD"/>
    <w:rsid w:val="00AC4B39"/>
    <w:rsid w:val="00AC4F34"/>
    <w:rsid w:val="00AC50BC"/>
    <w:rsid w:val="00AC595D"/>
    <w:rsid w:val="00AC6104"/>
    <w:rsid w:val="00AC63AC"/>
    <w:rsid w:val="00AC6CA8"/>
    <w:rsid w:val="00AC6EC2"/>
    <w:rsid w:val="00AC6FBC"/>
    <w:rsid w:val="00AC6FC6"/>
    <w:rsid w:val="00AD0265"/>
    <w:rsid w:val="00AD047A"/>
    <w:rsid w:val="00AD0DE9"/>
    <w:rsid w:val="00AD13C0"/>
    <w:rsid w:val="00AD1F3E"/>
    <w:rsid w:val="00AD2036"/>
    <w:rsid w:val="00AD22E3"/>
    <w:rsid w:val="00AD2971"/>
    <w:rsid w:val="00AD2F97"/>
    <w:rsid w:val="00AD4439"/>
    <w:rsid w:val="00AD48F6"/>
    <w:rsid w:val="00AD5FE2"/>
    <w:rsid w:val="00AD76F2"/>
    <w:rsid w:val="00AD7D03"/>
    <w:rsid w:val="00AE1224"/>
    <w:rsid w:val="00AE12C5"/>
    <w:rsid w:val="00AE18A3"/>
    <w:rsid w:val="00AE1DBB"/>
    <w:rsid w:val="00AE3505"/>
    <w:rsid w:val="00AE3756"/>
    <w:rsid w:val="00AE3A4B"/>
    <w:rsid w:val="00AE3A63"/>
    <w:rsid w:val="00AE4572"/>
    <w:rsid w:val="00AE4755"/>
    <w:rsid w:val="00AE4FF7"/>
    <w:rsid w:val="00AE53FF"/>
    <w:rsid w:val="00AE5416"/>
    <w:rsid w:val="00AE5435"/>
    <w:rsid w:val="00AE5C7D"/>
    <w:rsid w:val="00AE645C"/>
    <w:rsid w:val="00AE749F"/>
    <w:rsid w:val="00AE7DED"/>
    <w:rsid w:val="00AF10FA"/>
    <w:rsid w:val="00AF2255"/>
    <w:rsid w:val="00AF2918"/>
    <w:rsid w:val="00AF3ABE"/>
    <w:rsid w:val="00AF41C3"/>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34D"/>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534"/>
    <w:rsid w:val="00B457B8"/>
    <w:rsid w:val="00B45F25"/>
    <w:rsid w:val="00B462A7"/>
    <w:rsid w:val="00B4738B"/>
    <w:rsid w:val="00B476AF"/>
    <w:rsid w:val="00B4772D"/>
    <w:rsid w:val="00B47CC4"/>
    <w:rsid w:val="00B5124B"/>
    <w:rsid w:val="00B517F7"/>
    <w:rsid w:val="00B518E5"/>
    <w:rsid w:val="00B518F9"/>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133"/>
    <w:rsid w:val="00B63483"/>
    <w:rsid w:val="00B6369D"/>
    <w:rsid w:val="00B63C73"/>
    <w:rsid w:val="00B642C5"/>
    <w:rsid w:val="00B660B9"/>
    <w:rsid w:val="00B661EA"/>
    <w:rsid w:val="00B66329"/>
    <w:rsid w:val="00B66F3E"/>
    <w:rsid w:val="00B66FC2"/>
    <w:rsid w:val="00B672B3"/>
    <w:rsid w:val="00B678CC"/>
    <w:rsid w:val="00B678DB"/>
    <w:rsid w:val="00B67C5C"/>
    <w:rsid w:val="00B70404"/>
    <w:rsid w:val="00B71181"/>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09E9"/>
    <w:rsid w:val="00B810DF"/>
    <w:rsid w:val="00B81983"/>
    <w:rsid w:val="00B81FBB"/>
    <w:rsid w:val="00B823AE"/>
    <w:rsid w:val="00B827FD"/>
    <w:rsid w:val="00B837C2"/>
    <w:rsid w:val="00B84851"/>
    <w:rsid w:val="00B84F6A"/>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3FE"/>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1D29"/>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966"/>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2FC9"/>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AF7"/>
    <w:rsid w:val="00C45B88"/>
    <w:rsid w:val="00C461F2"/>
    <w:rsid w:val="00C46492"/>
    <w:rsid w:val="00C46F61"/>
    <w:rsid w:val="00C47598"/>
    <w:rsid w:val="00C47964"/>
    <w:rsid w:val="00C47BB2"/>
    <w:rsid w:val="00C47CC5"/>
    <w:rsid w:val="00C5014C"/>
    <w:rsid w:val="00C50A0D"/>
    <w:rsid w:val="00C50F0D"/>
    <w:rsid w:val="00C51A32"/>
    <w:rsid w:val="00C51C28"/>
    <w:rsid w:val="00C528C5"/>
    <w:rsid w:val="00C52DB8"/>
    <w:rsid w:val="00C53456"/>
    <w:rsid w:val="00C5397B"/>
    <w:rsid w:val="00C53E6D"/>
    <w:rsid w:val="00C5484A"/>
    <w:rsid w:val="00C54A67"/>
    <w:rsid w:val="00C54CD6"/>
    <w:rsid w:val="00C55CCA"/>
    <w:rsid w:val="00C55E36"/>
    <w:rsid w:val="00C55EA7"/>
    <w:rsid w:val="00C57A67"/>
    <w:rsid w:val="00C60425"/>
    <w:rsid w:val="00C60C2D"/>
    <w:rsid w:val="00C6162E"/>
    <w:rsid w:val="00C61E0E"/>
    <w:rsid w:val="00C62E53"/>
    <w:rsid w:val="00C62E87"/>
    <w:rsid w:val="00C62FB0"/>
    <w:rsid w:val="00C63E23"/>
    <w:rsid w:val="00C65399"/>
    <w:rsid w:val="00C65917"/>
    <w:rsid w:val="00C671D2"/>
    <w:rsid w:val="00C67F26"/>
    <w:rsid w:val="00C70043"/>
    <w:rsid w:val="00C70979"/>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714"/>
    <w:rsid w:val="00CC6F87"/>
    <w:rsid w:val="00CC7262"/>
    <w:rsid w:val="00CC7A24"/>
    <w:rsid w:val="00CC7D21"/>
    <w:rsid w:val="00CC7DFE"/>
    <w:rsid w:val="00CD0040"/>
    <w:rsid w:val="00CD0EF3"/>
    <w:rsid w:val="00CD109D"/>
    <w:rsid w:val="00CD1E9D"/>
    <w:rsid w:val="00CD1F1D"/>
    <w:rsid w:val="00CD243C"/>
    <w:rsid w:val="00CD2A30"/>
    <w:rsid w:val="00CD2D54"/>
    <w:rsid w:val="00CD4041"/>
    <w:rsid w:val="00CD4565"/>
    <w:rsid w:val="00CD461B"/>
    <w:rsid w:val="00CD46A3"/>
    <w:rsid w:val="00CD4B0C"/>
    <w:rsid w:val="00CD5288"/>
    <w:rsid w:val="00CD57BE"/>
    <w:rsid w:val="00CD6672"/>
    <w:rsid w:val="00CD66E6"/>
    <w:rsid w:val="00CD6ABB"/>
    <w:rsid w:val="00CD7869"/>
    <w:rsid w:val="00CD79E5"/>
    <w:rsid w:val="00CE0C33"/>
    <w:rsid w:val="00CE127D"/>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03F"/>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6FAE"/>
    <w:rsid w:val="00CF71E3"/>
    <w:rsid w:val="00CF7724"/>
    <w:rsid w:val="00CF7FDD"/>
    <w:rsid w:val="00D000EB"/>
    <w:rsid w:val="00D0018D"/>
    <w:rsid w:val="00D00862"/>
    <w:rsid w:val="00D00A5D"/>
    <w:rsid w:val="00D00A87"/>
    <w:rsid w:val="00D01045"/>
    <w:rsid w:val="00D01354"/>
    <w:rsid w:val="00D01910"/>
    <w:rsid w:val="00D01ED2"/>
    <w:rsid w:val="00D028CD"/>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971"/>
    <w:rsid w:val="00D16FA0"/>
    <w:rsid w:val="00D17378"/>
    <w:rsid w:val="00D2017F"/>
    <w:rsid w:val="00D206F5"/>
    <w:rsid w:val="00D21449"/>
    <w:rsid w:val="00D216B2"/>
    <w:rsid w:val="00D222F1"/>
    <w:rsid w:val="00D22940"/>
    <w:rsid w:val="00D22E5E"/>
    <w:rsid w:val="00D23974"/>
    <w:rsid w:val="00D24E2E"/>
    <w:rsid w:val="00D2519A"/>
    <w:rsid w:val="00D25462"/>
    <w:rsid w:val="00D25507"/>
    <w:rsid w:val="00D2632E"/>
    <w:rsid w:val="00D26479"/>
    <w:rsid w:val="00D26DCE"/>
    <w:rsid w:val="00D26F26"/>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509"/>
    <w:rsid w:val="00D548CF"/>
    <w:rsid w:val="00D5491C"/>
    <w:rsid w:val="00D54CCF"/>
    <w:rsid w:val="00D554E8"/>
    <w:rsid w:val="00D55E12"/>
    <w:rsid w:val="00D5657D"/>
    <w:rsid w:val="00D5704D"/>
    <w:rsid w:val="00D5748E"/>
    <w:rsid w:val="00D577BB"/>
    <w:rsid w:val="00D60B39"/>
    <w:rsid w:val="00D60B5C"/>
    <w:rsid w:val="00D610C4"/>
    <w:rsid w:val="00D612A9"/>
    <w:rsid w:val="00D61309"/>
    <w:rsid w:val="00D61ABF"/>
    <w:rsid w:val="00D61CE2"/>
    <w:rsid w:val="00D61E63"/>
    <w:rsid w:val="00D6201F"/>
    <w:rsid w:val="00D62932"/>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97FFA"/>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4DD"/>
    <w:rsid w:val="00DB1890"/>
    <w:rsid w:val="00DB1D21"/>
    <w:rsid w:val="00DB1EFF"/>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076"/>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8C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924"/>
    <w:rsid w:val="00E26AC1"/>
    <w:rsid w:val="00E2720A"/>
    <w:rsid w:val="00E27AE8"/>
    <w:rsid w:val="00E3008F"/>
    <w:rsid w:val="00E307B6"/>
    <w:rsid w:val="00E316F5"/>
    <w:rsid w:val="00E32E9C"/>
    <w:rsid w:val="00E339F2"/>
    <w:rsid w:val="00E34EBE"/>
    <w:rsid w:val="00E34F85"/>
    <w:rsid w:val="00E36093"/>
    <w:rsid w:val="00E3707B"/>
    <w:rsid w:val="00E372D3"/>
    <w:rsid w:val="00E37AE3"/>
    <w:rsid w:val="00E40BF8"/>
    <w:rsid w:val="00E410C7"/>
    <w:rsid w:val="00E413E2"/>
    <w:rsid w:val="00E4154D"/>
    <w:rsid w:val="00E4196F"/>
    <w:rsid w:val="00E41A87"/>
    <w:rsid w:val="00E41AD6"/>
    <w:rsid w:val="00E41B01"/>
    <w:rsid w:val="00E42017"/>
    <w:rsid w:val="00E423E2"/>
    <w:rsid w:val="00E426E5"/>
    <w:rsid w:val="00E42730"/>
    <w:rsid w:val="00E43060"/>
    <w:rsid w:val="00E4363A"/>
    <w:rsid w:val="00E440D0"/>
    <w:rsid w:val="00E441CC"/>
    <w:rsid w:val="00E45AB1"/>
    <w:rsid w:val="00E45B52"/>
    <w:rsid w:val="00E45C81"/>
    <w:rsid w:val="00E46268"/>
    <w:rsid w:val="00E462F2"/>
    <w:rsid w:val="00E46532"/>
    <w:rsid w:val="00E468E6"/>
    <w:rsid w:val="00E46C51"/>
    <w:rsid w:val="00E46CC9"/>
    <w:rsid w:val="00E50255"/>
    <w:rsid w:val="00E50772"/>
    <w:rsid w:val="00E50D89"/>
    <w:rsid w:val="00E512C4"/>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292"/>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5990"/>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08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AB2"/>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1DB"/>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27EA2"/>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577"/>
    <w:rsid w:val="00F45BCE"/>
    <w:rsid w:val="00F45EF7"/>
    <w:rsid w:val="00F4645D"/>
    <w:rsid w:val="00F46558"/>
    <w:rsid w:val="00F46639"/>
    <w:rsid w:val="00F46676"/>
    <w:rsid w:val="00F46D6B"/>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386"/>
    <w:rsid w:val="00F62833"/>
    <w:rsid w:val="00F62AE5"/>
    <w:rsid w:val="00F62B07"/>
    <w:rsid w:val="00F62D01"/>
    <w:rsid w:val="00F62EE5"/>
    <w:rsid w:val="00F63BB0"/>
    <w:rsid w:val="00F64C7D"/>
    <w:rsid w:val="00F65C7E"/>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8C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2D"/>
    <w:rsid w:val="00F94CD4"/>
    <w:rsid w:val="00F9506A"/>
    <w:rsid w:val="00F955CD"/>
    <w:rsid w:val="00F95B03"/>
    <w:rsid w:val="00F96026"/>
    <w:rsid w:val="00F96B57"/>
    <w:rsid w:val="00F97CE1"/>
    <w:rsid w:val="00FA0966"/>
    <w:rsid w:val="00FA0EA9"/>
    <w:rsid w:val="00FA0EE6"/>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3D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4778"/>
    <w:rsid w:val="00FF4C9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0F014F8-72DB-433D-AC22-5B765AE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070753"/>
    <w:rPr>
      <w:rFonts w:ascii="Calibri" w:hAnsi="Calibri"/>
      <w:szCs w:val="20"/>
    </w:rPr>
  </w:style>
  <w:style w:type="character" w:customStyle="1" w:styleId="NotaexplicativaChar">
    <w:name w:val="Nota explicativa Char"/>
    <w:basedOn w:val="CitaoChar"/>
    <w:link w:val="Notaexplicativa"/>
    <w:rsid w:val="00070753"/>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E4526"/>
    <w:pPr>
      <w:numPr>
        <w:numId w:val="1"/>
      </w:numPr>
      <w:tabs>
        <w:tab w:val="left" w:pos="567"/>
      </w:tabs>
      <w:spacing w:before="120" w:after="240" w:line="259" w:lineRule="auto"/>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4526"/>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Calibri" w:eastAsiaTheme="majorEastAsia" w:hAnsi="Calibr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E4526"/>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D54509"/>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6E4526"/>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736141"/>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736141"/>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4526"/>
    <w:rPr>
      <w:i/>
      <w:iCs/>
      <w:color w:val="FF0000"/>
    </w:rPr>
  </w:style>
  <w:style w:type="paragraph" w:customStyle="1" w:styleId="Nvel3-R">
    <w:name w:val="Nível 3-R"/>
    <w:basedOn w:val="Nivel3"/>
    <w:link w:val="Nvel3-RChar"/>
    <w:qFormat/>
    <w:rsid w:val="006E4526"/>
    <w:rPr>
      <w:i/>
      <w:iCs/>
      <w:color w:val="FF0000"/>
    </w:rPr>
  </w:style>
  <w:style w:type="character" w:customStyle="1" w:styleId="Nvel2-RedChar">
    <w:name w:val="Nível 2 -Red Char"/>
    <w:basedOn w:val="Nivel2Char"/>
    <w:link w:val="Nvel2-Red"/>
    <w:rsid w:val="006E4526"/>
    <w:rPr>
      <w:rFonts w:ascii="Calibri" w:hAnsi="Calibri" w:cs="Arial"/>
      <w:i/>
      <w:iCs/>
      <w:color w:val="FF0000"/>
      <w:lang w:eastAsia="pt-BR"/>
    </w:rPr>
  </w:style>
  <w:style w:type="paragraph" w:customStyle="1" w:styleId="Nvel4-R">
    <w:name w:val="Nível 4-R"/>
    <w:basedOn w:val="Nivel4"/>
    <w:link w:val="Nvel4-RChar"/>
    <w:qFormat/>
    <w:rsid w:val="006E4526"/>
    <w:pPr>
      <w:ind w:left="709" w:firstLine="709"/>
    </w:pPr>
    <w:rPr>
      <w:i/>
      <w:iCs/>
      <w:color w:val="FF0000"/>
    </w:rPr>
  </w:style>
  <w:style w:type="character" w:customStyle="1" w:styleId="Nivel3Char">
    <w:name w:val="Nivel 3 Char"/>
    <w:basedOn w:val="Fontepargpadro"/>
    <w:link w:val="Nivel3"/>
    <w:rsid w:val="00D54509"/>
    <w:rPr>
      <w:rFonts w:ascii="Calibri" w:hAnsi="Calibri" w:cs="Arial"/>
      <w:color w:val="000000"/>
      <w:lang w:eastAsia="pt-BR"/>
    </w:rPr>
  </w:style>
  <w:style w:type="character" w:customStyle="1" w:styleId="Nvel3-RChar">
    <w:name w:val="Nível 3-R Char"/>
    <w:basedOn w:val="Nivel3Char"/>
    <w:link w:val="Nvel3-R"/>
    <w:rsid w:val="006E4526"/>
    <w:rPr>
      <w:rFonts w:ascii="Calibri" w:hAnsi="Calibri" w:cs="Arial"/>
      <w:i/>
      <w:iCs/>
      <w:color w:val="FF0000"/>
      <w:lang w:eastAsia="pt-BR"/>
    </w:rPr>
  </w:style>
  <w:style w:type="paragraph" w:customStyle="1" w:styleId="Nvel1-SemNum">
    <w:name w:val="Nível 1-Sem Num"/>
    <w:basedOn w:val="Nivel01"/>
    <w:link w:val="Nvel1-SemNumChar"/>
    <w:qFormat/>
    <w:rsid w:val="00C03966"/>
    <w:pPr>
      <w:numPr>
        <w:numId w:val="0"/>
      </w:numPr>
      <w:ind w:left="567"/>
      <w:outlineLvl w:val="1"/>
    </w:pPr>
    <w:rPr>
      <w:color w:val="FF0000"/>
    </w:rPr>
  </w:style>
  <w:style w:type="character" w:customStyle="1" w:styleId="Nvel4-RChar">
    <w:name w:val="Nível 4-R Char"/>
    <w:basedOn w:val="Nivel4Char"/>
    <w:link w:val="Nvel4-R"/>
    <w:rsid w:val="006E4526"/>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C03966"/>
    <w:rPr>
      <w:rFonts w:ascii="Calibri" w:eastAsiaTheme="majorEastAsia" w:hAnsi="Calibri"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paragraph" w:customStyle="1" w:styleId="Verificar">
    <w:name w:val="Verificar"/>
    <w:basedOn w:val="Notaexplicativa"/>
    <w:link w:val="VerificarChar"/>
    <w:qFormat/>
    <w:rsid w:val="006C3230"/>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79646" w:themeFill="accent6"/>
      <w:jc w:val="center"/>
    </w:pPr>
    <w:rPr>
      <w:b/>
      <w:caps/>
      <w:sz w:val="24"/>
      <w:szCs w:val="24"/>
    </w:rPr>
  </w:style>
  <w:style w:type="character" w:customStyle="1" w:styleId="VerificarChar">
    <w:name w:val="Verificar Char"/>
    <w:basedOn w:val="NotaexplicativaChar"/>
    <w:link w:val="Verificar"/>
    <w:rsid w:val="006C3230"/>
    <w:rPr>
      <w:rFonts w:ascii="Calibri" w:eastAsia="Calibri" w:hAnsi="Calibri" w:cs="Tahoma"/>
      <w:b/>
      <w:i/>
      <w:iCs/>
      <w:caps/>
      <w:color w:val="000000"/>
      <w:sz w:val="24"/>
      <w:szCs w:val="24"/>
      <w:shd w:val="clear" w:color="auto" w:fill="F79646" w:themeFill="accent6"/>
    </w:rPr>
  </w:style>
  <w:style w:type="paragraph" w:customStyle="1" w:styleId="Alnea">
    <w:name w:val="Alínea"/>
    <w:basedOn w:val="Normal"/>
    <w:link w:val="AlneaChar"/>
    <w:qFormat/>
    <w:rsid w:val="00816472"/>
    <w:pPr>
      <w:widowControl w:val="0"/>
      <w:autoSpaceDE w:val="0"/>
      <w:autoSpaceDN w:val="0"/>
      <w:adjustRightInd w:val="0"/>
      <w:spacing w:after="120" w:line="312" w:lineRule="auto"/>
      <w:contextualSpacing/>
      <w:jc w:val="both"/>
    </w:pPr>
    <w:rPr>
      <w:rFonts w:asciiTheme="minorHAnsi" w:eastAsiaTheme="minorHAnsi" w:hAnsiTheme="minorHAnsi" w:cstheme="minorHAnsi"/>
      <w:lang w:eastAsia="en-US"/>
    </w:rPr>
  </w:style>
  <w:style w:type="character" w:customStyle="1" w:styleId="AlneaChar">
    <w:name w:val="Alínea Char"/>
    <w:basedOn w:val="Fontepargpadro"/>
    <w:link w:val="Alnea"/>
    <w:rsid w:val="00816472"/>
    <w:rPr>
      <w:rFonts w:asciiTheme="minorHAnsi" w:eastAsiaTheme="minorHAnsi" w:hAnsiTheme="minorHAnsi" w:cstheme="minorHAnsi"/>
      <w:sz w:val="24"/>
      <w:szCs w:val="24"/>
    </w:rPr>
  </w:style>
  <w:style w:type="character" w:styleId="MenoPendente">
    <w:name w:val="Unresolved Mention"/>
    <w:basedOn w:val="Fontepargpadro"/>
    <w:uiPriority w:val="99"/>
    <w:semiHidden/>
    <w:unhideWhenUsed/>
    <w:rsid w:val="003D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4623321">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1737846">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1334826">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1547213">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1507443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0988718">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681880">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57088243">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472927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6904684">
      <w:bodyDiv w:val="1"/>
      <w:marLeft w:val="0"/>
      <w:marRight w:val="0"/>
      <w:marTop w:val="0"/>
      <w:marBottom w:val="0"/>
      <w:divBdr>
        <w:top w:val="none" w:sz="0" w:space="0" w:color="auto"/>
        <w:left w:val="none" w:sz="0" w:space="0" w:color="auto"/>
        <w:bottom w:val="none" w:sz="0" w:space="0" w:color="auto"/>
        <w:right w:val="none" w:sz="0" w:space="0" w:color="auto"/>
      </w:divBdr>
    </w:div>
    <w:div w:id="10827978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3491771">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372417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5718726">
      <w:bodyDiv w:val="1"/>
      <w:marLeft w:val="0"/>
      <w:marRight w:val="0"/>
      <w:marTop w:val="0"/>
      <w:marBottom w:val="0"/>
      <w:divBdr>
        <w:top w:val="none" w:sz="0" w:space="0" w:color="auto"/>
        <w:left w:val="none" w:sz="0" w:space="0" w:color="auto"/>
        <w:bottom w:val="none" w:sz="0" w:space="0" w:color="auto"/>
        <w:right w:val="none" w:sz="0" w:space="0" w:color="auto"/>
      </w:divBdr>
      <w:divsChild>
        <w:div w:id="2126608094">
          <w:marLeft w:val="0"/>
          <w:marRight w:val="0"/>
          <w:marTop w:val="0"/>
          <w:marBottom w:val="0"/>
          <w:divBdr>
            <w:top w:val="none" w:sz="0" w:space="0" w:color="auto"/>
            <w:left w:val="none" w:sz="0" w:space="0" w:color="auto"/>
            <w:bottom w:val="none" w:sz="0" w:space="0" w:color="auto"/>
            <w:right w:val="none" w:sz="0" w:space="0" w:color="auto"/>
          </w:divBdr>
        </w:div>
      </w:divsChild>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3382751">
      <w:bodyDiv w:val="1"/>
      <w:marLeft w:val="0"/>
      <w:marRight w:val="0"/>
      <w:marTop w:val="0"/>
      <w:marBottom w:val="0"/>
      <w:divBdr>
        <w:top w:val="none" w:sz="0" w:space="0" w:color="auto"/>
        <w:left w:val="none" w:sz="0" w:space="0" w:color="auto"/>
        <w:bottom w:val="none" w:sz="0" w:space="0" w:color="auto"/>
        <w:right w:val="none" w:sz="0" w:space="0" w:color="auto"/>
      </w:divBdr>
    </w:div>
    <w:div w:id="1453550985">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4787529">
      <w:bodyDiv w:val="1"/>
      <w:marLeft w:val="0"/>
      <w:marRight w:val="0"/>
      <w:marTop w:val="0"/>
      <w:marBottom w:val="0"/>
      <w:divBdr>
        <w:top w:val="none" w:sz="0" w:space="0" w:color="auto"/>
        <w:left w:val="none" w:sz="0" w:space="0" w:color="auto"/>
        <w:bottom w:val="none" w:sz="0" w:space="0" w:color="auto"/>
        <w:right w:val="none" w:sz="0" w:space="0" w:color="auto"/>
      </w:divBdr>
      <w:divsChild>
        <w:div w:id="1712269405">
          <w:marLeft w:val="0"/>
          <w:marRight w:val="0"/>
          <w:marTop w:val="0"/>
          <w:marBottom w:val="0"/>
          <w:divBdr>
            <w:top w:val="none" w:sz="0" w:space="0" w:color="auto"/>
            <w:left w:val="none" w:sz="0" w:space="0" w:color="auto"/>
            <w:bottom w:val="none" w:sz="0" w:space="0" w:color="auto"/>
            <w:right w:val="none" w:sz="0" w:space="0" w:color="auto"/>
          </w:divBdr>
        </w:div>
        <w:div w:id="2027822448">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883443827">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3368321">
      <w:bodyDiv w:val="1"/>
      <w:marLeft w:val="0"/>
      <w:marRight w:val="0"/>
      <w:marTop w:val="0"/>
      <w:marBottom w:val="0"/>
      <w:divBdr>
        <w:top w:val="none" w:sz="0" w:space="0" w:color="auto"/>
        <w:left w:val="none" w:sz="0" w:space="0" w:color="auto"/>
        <w:bottom w:val="none" w:sz="0" w:space="0" w:color="auto"/>
        <w:right w:val="none" w:sz="0" w:space="0" w:color="auto"/>
      </w:divBdr>
      <w:divsChild>
        <w:div w:id="1834376745">
          <w:marLeft w:val="0"/>
          <w:marRight w:val="0"/>
          <w:marTop w:val="0"/>
          <w:marBottom w:val="0"/>
          <w:divBdr>
            <w:top w:val="none" w:sz="0" w:space="0" w:color="auto"/>
            <w:left w:val="none" w:sz="0" w:space="0" w:color="auto"/>
            <w:bottom w:val="none" w:sz="0" w:space="0" w:color="auto"/>
            <w:right w:val="none" w:sz="0" w:space="0" w:color="auto"/>
          </w:divBdr>
        </w:div>
        <w:div w:id="1987271362">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conomia/pt-br/assuntos/drei/legislacao/arquivos/legislacoes-federais/indrei772020.pdf"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2/decreto/d10977.htm" TargetMode="External"/><Relationship Id="rId42" Type="http://schemas.openxmlformats.org/officeDocument/2006/relationships/hyperlink" Target="https://www.planalto.gov.br/ccivil_03/leis/l5172compilado.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planalto.gov.br/ccivil_03/leis/l8245.htm" TargetMode="External"/><Relationship Id="rId17" Type="http://schemas.openxmlformats.org/officeDocument/2006/relationships/hyperlink" Target="https://www.gov.br/agu/pt-br/composicao/cgu/cgu/guias/gncs_082022.pdf" TargetMode="External"/><Relationship Id="rId25" Type="http://schemas.openxmlformats.org/officeDocument/2006/relationships/hyperlink" Target="https://www.portaltransparencia.gov.br/sancoes/cnep" TargetMode="External"/><Relationship Id="rId33" Type="http://schemas.openxmlformats.org/officeDocument/2006/relationships/hyperlink" Target="https://www.gov.br/compras/pt-br/acesso-a-informacao/legislacao/instrucoes-normativas/instrucao-normativa-seges-me-no-116-de-21-de-dezembro-de-2021" TargetMode="External"/><Relationship Id="rId38" Type="http://schemas.openxmlformats.org/officeDocument/2006/relationships/hyperlink" Target="https://legislacao.presidencia.gov.br/atos/?tipo=LEI&amp;numero=10406&amp;ano=2002&amp;ato=ac5gXVE5ENNpWT07a" TargetMode="External"/><Relationship Id="rId46"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s://www.gov.br/agu/pt-br/composicao/cgu/cgu/guias/gncs_082022.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www.planalto.gov.br/ccivil_03/decreto-lei/del5452.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ortaltransparencia.gov.br/sancoes/ceis"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2/lei/L14382.htm" TargetMode="External"/><Relationship Id="rId40" Type="http://schemas.openxmlformats.org/officeDocument/2006/relationships/hyperlink" Target="http://normas.receita.fazenda.gov.br/sijut2consulta/link.action?visao=anotado&amp;idAto=56753" TargetMode="External"/><Relationship Id="rId45" Type="http://schemas.openxmlformats.org/officeDocument/2006/relationships/hyperlink" Target="http://www.planalto.gov.br/ccivil_03/_ato2019-2022/2021/lei/L14133.htm" TargetMode="External"/><Relationship Id="rId5" Type="http://schemas.openxmlformats.org/officeDocument/2006/relationships/customXml" Target="../customXml/item5.xml"/><Relationship Id="rId15" Type="http://schemas.openxmlformats.org/officeDocument/2006/relationships/hyperlink" Target="https://www.planalto.gov.br/ccivil_03/_ato2007-2010/2010/lei/l12305.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in.gov.br/en/web/dou/-/lei-n-14.195-de-26-de-agosto-de-2021-341049135" TargetMode="External"/><Relationship Id="rId49" Type="http://schemas.openxmlformats.org/officeDocument/2006/relationships/hyperlink" Target="https://www.planalto.gov.br/ccivil_03/_ato2011-2014/2011/lei/l12527.htm" TargetMode="External"/><Relationship Id="rId10" Type="http://schemas.openxmlformats.org/officeDocument/2006/relationships/footnotes" Target="footnotes.xm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gov.br/compras/pt-br/acesso-a-informacao/legislacao/instrucoes-normativas/instrucao-normativa-seges-me-no-116-de-21-de-dezembro-de-2021" TargetMode="External"/><Relationship Id="rId44" Type="http://schemas.openxmlformats.org/officeDocument/2006/relationships/hyperlink" Target="http://www.planalto.gov.br/ccivil_03/Leis/LCP/Lcp123.ht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br/agu/pt-br/composicao/cgu/cgu/guias/gncs_082022.pdf"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empresas-e-negocios/pt-br/empreendedor"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4.xml><?xml version="1.0" encoding="utf-8"?>
<ds:datastoreItem xmlns:ds="http://schemas.openxmlformats.org/officeDocument/2006/customXml" ds:itemID="{DA862052-D844-467A-AC8D-623B16AA7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491DA0-84F8-4786-BA60-3A89E22C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519</TotalTime>
  <Pages>1</Pages>
  <Words>6983</Words>
  <Characters>37709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44603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Gabriel Armani Jaske</cp:lastModifiedBy>
  <cp:revision>82</cp:revision>
  <cp:lastPrinted>2022-10-18T08:30:00Z</cp:lastPrinted>
  <dcterms:created xsi:type="dcterms:W3CDTF">2023-02-15T14:24:00Z</dcterms:created>
  <dcterms:modified xsi:type="dcterms:W3CDTF">2023-12-08T16:34:00Z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